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2474DD">
      <w:pPr>
        <w:keepNext w:val="0"/>
        <w:keepLines w:val="0"/>
        <w:pageBreakBefore w:val="0"/>
        <w:widowControl w:val="0"/>
        <w:kinsoku/>
        <w:wordWrap/>
        <w:overflowPunct/>
        <w:topLinePunct w:val="0"/>
        <w:autoSpaceDE/>
        <w:autoSpaceDN/>
        <w:bidi w:val="0"/>
        <w:adjustRightInd/>
        <w:snapToGrid/>
        <w:spacing w:line="660" w:lineRule="exact"/>
        <w:jc w:val="left"/>
        <w:textAlignment w:val="auto"/>
        <w:outlineLvl w:val="0"/>
        <w:rPr>
          <w:rFonts w:hint="eastAsia" w:ascii="黑体" w:hAnsi="黑体" w:eastAsia="黑体" w:cs="黑体"/>
          <w:b/>
          <w:bCs/>
          <w:color w:val="auto"/>
          <w:sz w:val="32"/>
          <w:szCs w:val="32"/>
          <w:shd w:val="clear" w:color="auto" w:fill="FFFFFF"/>
          <w:lang w:val="en-US" w:eastAsia="zh-CN"/>
        </w:rPr>
      </w:pPr>
      <w:r>
        <w:rPr>
          <w:rFonts w:hint="eastAsia" w:ascii="黑体" w:hAnsi="黑体" w:eastAsia="黑体" w:cs="黑体"/>
          <w:b/>
          <w:bCs/>
          <w:color w:val="auto"/>
          <w:sz w:val="32"/>
          <w:szCs w:val="32"/>
          <w:shd w:val="clear" w:color="auto" w:fill="FFFFFF"/>
          <w:lang w:val="en-US" w:eastAsia="zh-CN"/>
        </w:rPr>
        <w:t>附件8</w:t>
      </w:r>
    </w:p>
    <w:p w14:paraId="6ACDB845">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宋体" w:cs="宋体"/>
          <w:b/>
          <w:bCs/>
          <w:color w:val="auto"/>
          <w:sz w:val="36"/>
          <w:szCs w:val="36"/>
          <w:shd w:val="clear" w:color="auto" w:fill="FFFFFF"/>
        </w:rPr>
      </w:pPr>
      <w:bookmarkStart w:id="0" w:name="_GoBack"/>
      <w:r>
        <w:rPr>
          <w:rFonts w:hint="eastAsia" w:ascii="宋体" w:hAnsi="宋体" w:eastAsia="宋体" w:cs="宋体"/>
          <w:b/>
          <w:bCs/>
          <w:color w:val="auto"/>
          <w:sz w:val="36"/>
          <w:szCs w:val="36"/>
          <w:shd w:val="clear" w:color="auto" w:fill="FFFFFF"/>
        </w:rPr>
        <w:t>重大慢病“防、筛、管、治、康、护”服务技术标准</w:t>
      </w:r>
    </w:p>
    <w:p w14:paraId="7E5E8651">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0"/>
        <w:rPr>
          <w:rFonts w:hint="eastAsia" w:ascii="宋体" w:hAnsi="宋体" w:eastAsia="宋体" w:cs="宋体"/>
          <w:b/>
          <w:bCs/>
          <w:color w:val="auto"/>
          <w:sz w:val="36"/>
          <w:szCs w:val="36"/>
          <w:shd w:val="clear" w:color="auto" w:fill="FFFFFF"/>
        </w:rPr>
      </w:pPr>
      <w:r>
        <w:rPr>
          <w:rFonts w:hint="eastAsia" w:ascii="宋体" w:hAnsi="宋体" w:eastAsia="宋体" w:cs="宋体"/>
          <w:b/>
          <w:bCs/>
          <w:color w:val="auto"/>
          <w:sz w:val="36"/>
          <w:szCs w:val="36"/>
          <w:shd w:val="clear" w:color="auto" w:fill="FFFFFF"/>
          <w:lang w:val="en-US" w:eastAsia="zh-CN"/>
        </w:rPr>
        <w:t>团体</w:t>
      </w:r>
      <w:r>
        <w:rPr>
          <w:rFonts w:hint="eastAsia" w:ascii="宋体" w:hAnsi="宋体" w:eastAsia="宋体" w:cs="宋体"/>
          <w:b/>
          <w:bCs/>
          <w:color w:val="auto"/>
          <w:sz w:val="36"/>
          <w:szCs w:val="36"/>
          <w:shd w:val="clear" w:color="auto" w:fill="FFFFFF"/>
        </w:rPr>
        <w:t>标准编制说明</w:t>
      </w:r>
    </w:p>
    <w:bookmarkEnd w:id="0"/>
    <w:p w14:paraId="1EBCFF1B">
      <w:pPr>
        <w:keepNext w:val="0"/>
        <w:keepLines w:val="0"/>
        <w:pageBreakBefore w:val="0"/>
        <w:widowControl/>
        <w:kinsoku/>
        <w:wordWrap/>
        <w:overflowPunct/>
        <w:topLinePunct w:val="0"/>
        <w:autoSpaceDE/>
        <w:autoSpaceDN/>
        <w:bidi w:val="0"/>
        <w:adjustRightInd/>
        <w:snapToGrid/>
        <w:spacing w:line="660" w:lineRule="exact"/>
        <w:ind w:firstLine="640" w:firstLineChars="200"/>
        <w:jc w:val="left"/>
        <w:textAlignment w:val="auto"/>
        <w:rPr>
          <w:rFonts w:hint="eastAsia" w:ascii="仿宋_GB2312" w:hAnsi="仿宋_GB2312" w:eastAsia="仿宋_GB2312" w:cs="仿宋_GB2312"/>
          <w:color w:val="auto"/>
          <w:szCs w:val="32"/>
          <w:shd w:val="clear" w:color="auto" w:fill="FFFFFF"/>
        </w:rPr>
      </w:pPr>
    </w:p>
    <w:p w14:paraId="1FBD9857">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一、任务来源与项目编号、各起草单位和起草人承担的工作、起草过程等</w:t>
      </w:r>
    </w:p>
    <w:p w14:paraId="2B4EB7E7">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Times New Roman" w:hAnsi="Times New Roman" w:eastAsia="楷体_GB2312" w:cs="Times New Roman"/>
          <w:b w:val="0"/>
          <w:bCs w:val="0"/>
          <w:color w:val="auto"/>
          <w:sz w:val="32"/>
          <w:szCs w:val="32"/>
          <w:lang w:val="en-US" w:eastAsia="zh-CN"/>
        </w:rPr>
      </w:pPr>
      <w:r>
        <w:rPr>
          <w:rFonts w:hint="eastAsia" w:ascii="Times New Roman" w:hAnsi="Times New Roman" w:eastAsia="楷体_GB2312" w:cs="Times New Roman"/>
          <w:b w:val="0"/>
          <w:bCs w:val="0"/>
          <w:color w:val="auto"/>
          <w:sz w:val="32"/>
          <w:szCs w:val="32"/>
          <w:lang w:val="en-US" w:eastAsia="zh-CN"/>
        </w:rPr>
        <w:t>（一）任务来源与项目编号</w:t>
      </w:r>
    </w:p>
    <w:p w14:paraId="7C54E753">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本任务来源于</w:t>
      </w:r>
      <w:r>
        <w:rPr>
          <w:rFonts w:hint="default" w:ascii="仿宋_GB2312" w:hAnsi="仿宋_GB2312" w:eastAsia="仿宋_GB2312" w:cs="仿宋_GB2312"/>
          <w:color w:val="auto"/>
          <w:szCs w:val="32"/>
          <w:highlight w:val="none"/>
          <w:shd w:val="clear" w:color="auto" w:fill="FFFFFF"/>
          <w:lang w:val="en-US" w:eastAsia="zh-CN"/>
        </w:rPr>
        <w:t>癌症、心脑血管、呼吸和代谢性疾病防治研究国家科技重大专项，我国重大慢病防治适宜技术推广机制、模式与示范</w:t>
      </w:r>
      <w:r>
        <w:rPr>
          <w:rFonts w:hint="eastAsia" w:ascii="仿宋_GB2312" w:hAnsi="仿宋_GB2312" w:eastAsia="仿宋_GB2312" w:cs="仿宋_GB2312"/>
          <w:color w:val="auto"/>
          <w:szCs w:val="32"/>
          <w:highlight w:val="none"/>
          <w:shd w:val="clear" w:color="auto" w:fill="FFFFFF"/>
          <w:lang w:val="en-US" w:eastAsia="zh-CN"/>
        </w:rPr>
        <w:t>（项目编号</w:t>
      </w:r>
      <w:r>
        <w:rPr>
          <w:rFonts w:hint="default" w:ascii="仿宋_GB2312" w:hAnsi="仿宋_GB2312" w:eastAsia="仿宋_GB2312" w:cs="仿宋_GB2312"/>
          <w:color w:val="auto"/>
          <w:szCs w:val="32"/>
          <w:highlight w:val="none"/>
          <w:shd w:val="clear" w:color="auto" w:fill="FFFFFF"/>
          <w:lang w:val="en-US" w:eastAsia="zh-CN"/>
        </w:rPr>
        <w:t>2024ZD0524300</w:t>
      </w:r>
      <w:r>
        <w:rPr>
          <w:rFonts w:hint="eastAsia" w:ascii="仿宋_GB2312" w:hAnsi="仿宋_GB2312" w:eastAsia="仿宋_GB2312" w:cs="仿宋_GB2312"/>
          <w:color w:val="auto"/>
          <w:szCs w:val="32"/>
          <w:highlight w:val="none"/>
          <w:shd w:val="clear" w:color="auto" w:fill="FFFFFF"/>
          <w:lang w:val="en-US" w:eastAsia="zh-CN"/>
        </w:rPr>
        <w:t>），项目规定了《重大慢病“防、筛、管、治、康、护”服务技术标准》团体标准的编制任务。</w:t>
      </w:r>
    </w:p>
    <w:p w14:paraId="753A723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Times New Roman" w:hAnsi="Times New Roman" w:eastAsia="楷体_GB2312" w:cs="Times New Roman"/>
          <w:b w:val="0"/>
          <w:bCs w:val="0"/>
          <w:color w:val="auto"/>
          <w:sz w:val="32"/>
          <w:szCs w:val="32"/>
          <w:lang w:val="en-US" w:eastAsia="zh-CN"/>
        </w:rPr>
      </w:pPr>
      <w:r>
        <w:rPr>
          <w:rFonts w:hint="eastAsia" w:ascii="Times New Roman" w:hAnsi="Times New Roman" w:eastAsia="楷体_GB2312" w:cs="Times New Roman"/>
          <w:b w:val="0"/>
          <w:bCs w:val="0"/>
          <w:color w:val="auto"/>
          <w:sz w:val="32"/>
          <w:szCs w:val="32"/>
          <w:lang w:val="en-US" w:eastAsia="zh-CN"/>
        </w:rPr>
        <w:t>（二）各起草单位和起草人承担的工作</w:t>
      </w:r>
    </w:p>
    <w:p w14:paraId="29FA84CD">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rPr>
      </w:pPr>
      <w:r>
        <w:rPr>
          <w:rFonts w:hint="eastAsia" w:ascii="仿宋_GB2312" w:hAnsi="仿宋_GB2312" w:eastAsia="仿宋_GB2312" w:cs="仿宋_GB2312"/>
          <w:color w:val="auto"/>
          <w:szCs w:val="32"/>
          <w:shd w:val="clear" w:color="auto" w:fill="FFFFFF"/>
          <w:lang w:val="en-US" w:eastAsia="zh-CN"/>
        </w:rPr>
        <w:t>北京大学</w:t>
      </w:r>
      <w:r>
        <w:rPr>
          <w:rFonts w:hint="eastAsia" w:ascii="仿宋_GB2312" w:hAnsi="仿宋_GB2312" w:eastAsia="仿宋_GB2312" w:cs="仿宋_GB2312"/>
          <w:color w:val="auto"/>
          <w:szCs w:val="32"/>
          <w:shd w:val="clear" w:color="auto" w:fill="FFFFFF"/>
        </w:rPr>
        <w:t>牵头并</w:t>
      </w:r>
      <w:r>
        <w:rPr>
          <w:rFonts w:hint="eastAsia" w:ascii="仿宋_GB2312" w:hAnsi="仿宋_GB2312" w:eastAsia="仿宋_GB2312" w:cs="仿宋_GB2312"/>
          <w:color w:val="auto"/>
          <w:szCs w:val="32"/>
          <w:highlight w:val="none"/>
          <w:shd w:val="clear" w:color="auto" w:fill="FFFFFF"/>
        </w:rPr>
        <w:t>联合</w:t>
      </w:r>
      <w:r>
        <w:rPr>
          <w:rFonts w:hint="eastAsia" w:ascii="仿宋_GB2312" w:hAnsi="仿宋_GB2312" w:eastAsia="仿宋_GB2312" w:cs="仿宋_GB2312"/>
          <w:color w:val="auto"/>
          <w:szCs w:val="32"/>
          <w:highlight w:val="none"/>
          <w:shd w:val="clear" w:color="auto" w:fill="FFFFFF"/>
          <w:lang w:val="en-US" w:eastAsia="zh-CN"/>
        </w:rPr>
        <w:t>中国康复研究中心</w:t>
      </w:r>
      <w:r>
        <w:rPr>
          <w:rFonts w:hint="eastAsia" w:ascii="仿宋_GB2312" w:hAnsi="仿宋_GB2312" w:eastAsia="仿宋_GB2312" w:cs="仿宋_GB2312"/>
          <w:color w:val="auto"/>
          <w:szCs w:val="32"/>
          <w:highlight w:val="none"/>
          <w:shd w:val="clear" w:color="auto" w:fill="FFFFFF"/>
        </w:rPr>
        <w:t>成</w:t>
      </w:r>
      <w:r>
        <w:rPr>
          <w:rFonts w:hint="eastAsia" w:ascii="仿宋_GB2312" w:hAnsi="仿宋_GB2312" w:eastAsia="仿宋_GB2312" w:cs="仿宋_GB2312"/>
          <w:color w:val="auto"/>
          <w:szCs w:val="32"/>
          <w:shd w:val="clear" w:color="auto" w:fill="FFFFFF"/>
        </w:rPr>
        <w:t>立了项目组。项目组主要参与人员及承担的工作如表1所示。</w:t>
      </w:r>
    </w:p>
    <w:p w14:paraId="5724439E">
      <w:pPr>
        <w:keepNext w:val="0"/>
        <w:keepLines w:val="0"/>
        <w:pageBreakBefore w:val="0"/>
        <w:kinsoku/>
        <w:wordWrap/>
        <w:overflowPunct/>
        <w:topLinePunct w:val="0"/>
        <w:autoSpaceDE/>
        <w:autoSpaceDN/>
        <w:bidi w:val="0"/>
        <w:adjustRightInd/>
        <w:snapToGrid/>
        <w:spacing w:line="660" w:lineRule="exact"/>
        <w:jc w:val="center"/>
        <w:textAlignment w:val="auto"/>
        <w:rPr>
          <w:rFonts w:hint="eastAsia" w:ascii="方正仿宋_GB2312" w:hAnsi="方正仿宋_GB2312" w:eastAsia="方正仿宋_GB2312" w:cs="方正仿宋_GB2312"/>
          <w:color w:val="auto"/>
          <w:sz w:val="21"/>
          <w:szCs w:val="21"/>
        </w:rPr>
      </w:pPr>
      <w:r>
        <w:rPr>
          <w:rFonts w:hint="eastAsia" w:ascii="方正仿宋_GB2312" w:hAnsi="方正仿宋_GB2312" w:eastAsia="方正仿宋_GB2312" w:cs="方正仿宋_GB2312"/>
          <w:color w:val="auto"/>
          <w:sz w:val="28"/>
          <w:szCs w:val="28"/>
        </w:rPr>
        <w:t>表1</w:t>
      </w:r>
      <w:r>
        <w:rPr>
          <w:rFonts w:hint="eastAsia" w:ascii="方正仿宋_GB2312" w:hAnsi="方正仿宋_GB2312" w:eastAsia="方正仿宋_GB2312" w:cs="方正仿宋_GB2312"/>
          <w:color w:val="auto"/>
          <w:sz w:val="28"/>
          <w:szCs w:val="28"/>
          <w:lang w:val="en-US" w:eastAsia="zh-CN"/>
        </w:rPr>
        <w:t xml:space="preserve"> </w:t>
      </w:r>
      <w:r>
        <w:rPr>
          <w:rFonts w:hint="eastAsia" w:ascii="方正仿宋_GB2312" w:hAnsi="方正仿宋_GB2312" w:eastAsia="方正仿宋_GB2312" w:cs="方正仿宋_GB2312"/>
          <w:color w:val="auto"/>
          <w:sz w:val="28"/>
          <w:szCs w:val="28"/>
        </w:rPr>
        <w:t>项目组主要参与人员及承担的工作</w:t>
      </w:r>
    </w:p>
    <w:tbl>
      <w:tblPr>
        <w:tblStyle w:val="9"/>
        <w:tblW w:w="88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2"/>
        <w:gridCol w:w="1656"/>
        <w:gridCol w:w="1093"/>
        <w:gridCol w:w="947"/>
        <w:gridCol w:w="2280"/>
        <w:gridCol w:w="1905"/>
      </w:tblGrid>
      <w:tr w14:paraId="4C8424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962" w:type="dxa"/>
            <w:shd w:val="clear" w:color="auto" w:fill="D7D7D7" w:themeFill="background1" w:themeFillShade="D8"/>
          </w:tcPr>
          <w:p w14:paraId="12BEFE60">
            <w:pPr>
              <w:pStyle w:val="8"/>
              <w:spacing w:before="99" w:line="224" w:lineRule="auto"/>
              <w:ind w:left="123"/>
              <w:rPr>
                <w:rFonts w:hint="eastAsia" w:ascii="宋体" w:hAnsi="宋体" w:eastAsia="宋体" w:cs="宋体"/>
                <w:sz w:val="20"/>
                <w:szCs w:val="20"/>
              </w:rPr>
            </w:pPr>
            <w:r>
              <w:rPr>
                <w:rFonts w:hint="eastAsia" w:ascii="宋体" w:hAnsi="宋体" w:eastAsia="宋体" w:cs="宋体"/>
                <w:b/>
                <w:bCs/>
                <w:spacing w:val="-13"/>
                <w:sz w:val="20"/>
                <w:szCs w:val="20"/>
              </w:rPr>
              <w:t>姓名</w:t>
            </w:r>
          </w:p>
        </w:tc>
        <w:tc>
          <w:tcPr>
            <w:tcW w:w="1656" w:type="dxa"/>
            <w:shd w:val="clear" w:color="auto" w:fill="D7D7D7" w:themeFill="background1" w:themeFillShade="D8"/>
          </w:tcPr>
          <w:p w14:paraId="4431530F">
            <w:pPr>
              <w:pStyle w:val="8"/>
              <w:spacing w:before="99" w:line="219" w:lineRule="auto"/>
              <w:ind w:left="119"/>
              <w:rPr>
                <w:rFonts w:hint="eastAsia" w:ascii="宋体" w:hAnsi="宋体" w:eastAsia="宋体" w:cs="宋体"/>
                <w:sz w:val="20"/>
                <w:szCs w:val="20"/>
              </w:rPr>
            </w:pPr>
            <w:r>
              <w:rPr>
                <w:rFonts w:hint="eastAsia" w:ascii="宋体" w:hAnsi="宋体" w:eastAsia="宋体" w:cs="宋体"/>
                <w:b/>
                <w:bCs/>
                <w:spacing w:val="-7"/>
                <w:sz w:val="20"/>
                <w:szCs w:val="20"/>
              </w:rPr>
              <w:t>所在单位（部门）</w:t>
            </w:r>
          </w:p>
        </w:tc>
        <w:tc>
          <w:tcPr>
            <w:tcW w:w="1093" w:type="dxa"/>
            <w:shd w:val="clear" w:color="auto" w:fill="D7D7D7" w:themeFill="background1" w:themeFillShade="D8"/>
          </w:tcPr>
          <w:p w14:paraId="334C4A68">
            <w:pPr>
              <w:pStyle w:val="8"/>
              <w:spacing w:before="98" w:line="223" w:lineRule="auto"/>
              <w:ind w:left="120"/>
              <w:rPr>
                <w:rFonts w:hint="eastAsia" w:ascii="宋体" w:hAnsi="宋体" w:eastAsia="宋体" w:cs="宋体"/>
                <w:sz w:val="20"/>
                <w:szCs w:val="20"/>
              </w:rPr>
            </w:pPr>
            <w:r>
              <w:rPr>
                <w:rFonts w:hint="eastAsia" w:ascii="宋体" w:hAnsi="宋体" w:eastAsia="宋体" w:cs="宋体"/>
                <w:b/>
                <w:bCs/>
                <w:spacing w:val="-13"/>
                <w:sz w:val="20"/>
                <w:szCs w:val="20"/>
              </w:rPr>
              <w:t>职务</w:t>
            </w:r>
          </w:p>
        </w:tc>
        <w:tc>
          <w:tcPr>
            <w:tcW w:w="947" w:type="dxa"/>
            <w:shd w:val="clear" w:color="auto" w:fill="D7D7D7" w:themeFill="background1" w:themeFillShade="D8"/>
          </w:tcPr>
          <w:p w14:paraId="10CF3719">
            <w:pPr>
              <w:pStyle w:val="8"/>
              <w:spacing w:before="98" w:line="221" w:lineRule="auto"/>
              <w:ind w:left="122"/>
              <w:rPr>
                <w:rFonts w:hint="eastAsia" w:ascii="宋体" w:hAnsi="宋体" w:eastAsia="宋体" w:cs="宋体"/>
                <w:sz w:val="20"/>
                <w:szCs w:val="20"/>
              </w:rPr>
            </w:pPr>
            <w:r>
              <w:rPr>
                <w:rFonts w:hint="eastAsia" w:ascii="宋体" w:hAnsi="宋体" w:eastAsia="宋体" w:cs="宋体"/>
                <w:b/>
                <w:bCs/>
                <w:spacing w:val="-9"/>
                <w:sz w:val="20"/>
                <w:szCs w:val="20"/>
              </w:rPr>
              <w:t>技术职称</w:t>
            </w:r>
          </w:p>
        </w:tc>
        <w:tc>
          <w:tcPr>
            <w:tcW w:w="2280" w:type="dxa"/>
            <w:shd w:val="clear" w:color="auto" w:fill="D7D7D7" w:themeFill="background1" w:themeFillShade="D8"/>
          </w:tcPr>
          <w:p w14:paraId="78818036">
            <w:pPr>
              <w:pStyle w:val="8"/>
              <w:spacing w:before="98" w:line="223" w:lineRule="auto"/>
              <w:ind w:left="121"/>
              <w:rPr>
                <w:rFonts w:hint="eastAsia" w:ascii="宋体" w:hAnsi="宋体" w:eastAsia="宋体" w:cs="宋体"/>
                <w:sz w:val="20"/>
                <w:szCs w:val="20"/>
              </w:rPr>
            </w:pPr>
            <w:r>
              <w:rPr>
                <w:rFonts w:hint="eastAsia" w:ascii="宋体" w:hAnsi="宋体" w:eastAsia="宋体" w:cs="宋体"/>
                <w:b/>
                <w:bCs/>
                <w:spacing w:val="-9"/>
                <w:sz w:val="20"/>
                <w:szCs w:val="20"/>
              </w:rPr>
              <w:t>社会任职</w:t>
            </w:r>
          </w:p>
        </w:tc>
        <w:tc>
          <w:tcPr>
            <w:tcW w:w="1905" w:type="dxa"/>
            <w:shd w:val="clear" w:color="auto" w:fill="D7D7D7" w:themeFill="background1" w:themeFillShade="D8"/>
          </w:tcPr>
          <w:p w14:paraId="1B20986C">
            <w:pPr>
              <w:pStyle w:val="8"/>
              <w:spacing w:before="98" w:line="224" w:lineRule="auto"/>
              <w:ind w:left="125"/>
              <w:rPr>
                <w:rFonts w:hint="eastAsia" w:ascii="宋体" w:hAnsi="宋体" w:eastAsia="宋体" w:cs="宋体"/>
                <w:sz w:val="20"/>
                <w:szCs w:val="20"/>
              </w:rPr>
            </w:pPr>
            <w:r>
              <w:rPr>
                <w:rFonts w:hint="eastAsia" w:ascii="宋体" w:hAnsi="宋体" w:eastAsia="宋体" w:cs="宋体"/>
                <w:b/>
                <w:bCs/>
                <w:spacing w:val="-9"/>
                <w:sz w:val="20"/>
                <w:szCs w:val="20"/>
              </w:rPr>
              <w:t>项目分工</w:t>
            </w:r>
          </w:p>
        </w:tc>
      </w:tr>
      <w:tr w14:paraId="419C4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0465F9C2">
            <w:pPr>
              <w:rPr>
                <w:rFonts w:hint="eastAsia" w:ascii="宋体" w:hAnsi="宋体" w:eastAsia="宋体" w:cs="宋体"/>
                <w:sz w:val="20"/>
                <w:szCs w:val="20"/>
                <w:lang w:eastAsia="zh-CN"/>
              </w:rPr>
            </w:pPr>
            <w:r>
              <w:rPr>
                <w:rFonts w:hint="eastAsia" w:ascii="宋体" w:hAnsi="宋体" w:eastAsia="宋体" w:cs="宋体"/>
                <w:sz w:val="20"/>
                <w:szCs w:val="20"/>
                <w:lang w:eastAsia="zh-CN"/>
              </w:rPr>
              <w:t>孙宏玉</w:t>
            </w:r>
          </w:p>
        </w:tc>
        <w:tc>
          <w:tcPr>
            <w:tcW w:w="1656" w:type="dxa"/>
            <w:vAlign w:val="center"/>
          </w:tcPr>
          <w:p w14:paraId="572B2E37">
            <w:pPr>
              <w:rPr>
                <w:rFonts w:hint="eastAsia" w:ascii="宋体" w:hAnsi="宋体" w:eastAsia="宋体" w:cs="宋体"/>
                <w:sz w:val="20"/>
                <w:szCs w:val="20"/>
                <w:lang w:eastAsia="zh-CN"/>
              </w:rPr>
            </w:pPr>
            <w:r>
              <w:rPr>
                <w:rFonts w:hint="eastAsia" w:ascii="宋体" w:hAnsi="宋体" w:eastAsia="宋体" w:cs="宋体"/>
                <w:sz w:val="20"/>
                <w:szCs w:val="20"/>
                <w:lang w:eastAsia="zh-CN"/>
              </w:rPr>
              <w:t>北京大学</w:t>
            </w:r>
          </w:p>
        </w:tc>
        <w:tc>
          <w:tcPr>
            <w:tcW w:w="1093" w:type="dxa"/>
            <w:vAlign w:val="center"/>
          </w:tcPr>
          <w:p w14:paraId="2E98CA4D">
            <w:pPr>
              <w:rPr>
                <w:rFonts w:hint="eastAsia" w:ascii="宋体" w:hAnsi="宋体" w:eastAsia="宋体" w:cs="宋体"/>
                <w:sz w:val="20"/>
                <w:szCs w:val="20"/>
                <w:lang w:eastAsia="zh-CN"/>
              </w:rPr>
            </w:pPr>
            <w:r>
              <w:rPr>
                <w:rFonts w:hint="eastAsia" w:ascii="宋体" w:hAnsi="宋体" w:eastAsia="宋体" w:cs="宋体"/>
                <w:sz w:val="20"/>
                <w:szCs w:val="20"/>
                <w:lang w:eastAsia="zh-CN"/>
              </w:rPr>
              <w:t>教研室主任</w:t>
            </w:r>
          </w:p>
        </w:tc>
        <w:tc>
          <w:tcPr>
            <w:tcW w:w="947" w:type="dxa"/>
            <w:vAlign w:val="center"/>
          </w:tcPr>
          <w:p w14:paraId="3695A90A">
            <w:pPr>
              <w:rPr>
                <w:rFonts w:hint="eastAsia" w:ascii="宋体" w:hAnsi="宋体" w:eastAsia="宋体" w:cs="宋体"/>
                <w:sz w:val="20"/>
                <w:szCs w:val="20"/>
              </w:rPr>
            </w:pPr>
            <w:r>
              <w:rPr>
                <w:rFonts w:hint="eastAsia" w:ascii="宋体" w:hAnsi="宋体" w:eastAsia="宋体" w:cs="宋体"/>
                <w:sz w:val="20"/>
                <w:szCs w:val="20"/>
                <w:lang w:eastAsia="zh-CN"/>
              </w:rPr>
              <w:t>教授</w:t>
            </w:r>
          </w:p>
        </w:tc>
        <w:tc>
          <w:tcPr>
            <w:tcW w:w="2280" w:type="dxa"/>
            <w:vAlign w:val="center"/>
          </w:tcPr>
          <w:p w14:paraId="2682BFE6">
            <w:pPr>
              <w:rPr>
                <w:rFonts w:hint="eastAsia" w:ascii="宋体" w:hAnsi="宋体" w:eastAsia="宋体" w:cs="宋体"/>
                <w:sz w:val="20"/>
                <w:szCs w:val="20"/>
              </w:rPr>
            </w:pPr>
            <w:r>
              <w:rPr>
                <w:rFonts w:hint="eastAsia" w:ascii="宋体" w:hAnsi="宋体" w:eastAsia="宋体" w:cs="宋体"/>
                <w:sz w:val="20"/>
                <w:szCs w:val="20"/>
                <w:lang w:eastAsia="zh-CN"/>
              </w:rPr>
              <w:t>教育部护理教指委秘书长</w:t>
            </w:r>
          </w:p>
        </w:tc>
        <w:tc>
          <w:tcPr>
            <w:tcW w:w="1905" w:type="dxa"/>
            <w:vAlign w:val="center"/>
          </w:tcPr>
          <w:p w14:paraId="0108972D">
            <w:pPr>
              <w:rPr>
                <w:rFonts w:hint="eastAsia" w:ascii="宋体" w:hAnsi="宋体" w:eastAsia="宋体" w:cs="宋体"/>
                <w:sz w:val="20"/>
                <w:szCs w:val="20"/>
                <w:lang w:eastAsia="zh-CN"/>
              </w:rPr>
            </w:pPr>
            <w:r>
              <w:rPr>
                <w:rFonts w:hint="eastAsia" w:ascii="宋体" w:hAnsi="宋体" w:eastAsia="宋体" w:cs="宋体"/>
                <w:sz w:val="20"/>
                <w:szCs w:val="20"/>
                <w:lang w:eastAsia="zh-CN"/>
              </w:rPr>
              <w:t>项目设计、组织与实施</w:t>
            </w:r>
          </w:p>
        </w:tc>
      </w:tr>
      <w:tr w14:paraId="2CC90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28FFAB1">
            <w:pPr>
              <w:rPr>
                <w:rFonts w:hint="eastAsia" w:ascii="宋体" w:hAnsi="宋体" w:eastAsia="宋体" w:cs="宋体"/>
                <w:sz w:val="20"/>
                <w:szCs w:val="20"/>
                <w:lang w:eastAsia="zh-CN"/>
              </w:rPr>
            </w:pPr>
            <w:r>
              <w:rPr>
                <w:rFonts w:hint="eastAsia" w:ascii="宋体" w:hAnsi="宋体" w:eastAsia="宋体" w:cs="宋体"/>
                <w:sz w:val="20"/>
                <w:szCs w:val="20"/>
                <w:lang w:eastAsia="zh-CN"/>
              </w:rPr>
              <w:t>王耀刚</w:t>
            </w:r>
          </w:p>
        </w:tc>
        <w:tc>
          <w:tcPr>
            <w:tcW w:w="1656" w:type="dxa"/>
            <w:vAlign w:val="center"/>
          </w:tcPr>
          <w:p w14:paraId="36507527">
            <w:pPr>
              <w:rPr>
                <w:rFonts w:hint="eastAsia" w:ascii="宋体" w:hAnsi="宋体" w:eastAsia="宋体" w:cs="宋体"/>
                <w:sz w:val="20"/>
                <w:szCs w:val="20"/>
              </w:rPr>
            </w:pPr>
            <w:r>
              <w:rPr>
                <w:rFonts w:hint="eastAsia" w:ascii="宋体" w:hAnsi="宋体" w:eastAsia="宋体" w:cs="宋体"/>
                <w:sz w:val="20"/>
                <w:szCs w:val="20"/>
                <w:lang w:eastAsia="zh-CN"/>
              </w:rPr>
              <w:t>天津中医药大学</w:t>
            </w:r>
          </w:p>
        </w:tc>
        <w:tc>
          <w:tcPr>
            <w:tcW w:w="1093" w:type="dxa"/>
            <w:vAlign w:val="center"/>
          </w:tcPr>
          <w:p w14:paraId="515B6784">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副校长</w:t>
            </w:r>
          </w:p>
        </w:tc>
        <w:tc>
          <w:tcPr>
            <w:tcW w:w="947" w:type="dxa"/>
            <w:vAlign w:val="center"/>
          </w:tcPr>
          <w:p w14:paraId="7697AC56">
            <w:pPr>
              <w:rPr>
                <w:rFonts w:hint="eastAsia" w:ascii="宋体" w:hAnsi="宋体" w:eastAsia="宋体" w:cs="宋体"/>
                <w:sz w:val="20"/>
                <w:szCs w:val="20"/>
                <w:lang w:eastAsia="zh-CN"/>
              </w:rPr>
            </w:pPr>
            <w:r>
              <w:rPr>
                <w:rFonts w:hint="eastAsia" w:ascii="宋体" w:hAnsi="宋体" w:eastAsia="宋体" w:cs="宋体"/>
                <w:sz w:val="20"/>
                <w:szCs w:val="20"/>
                <w:lang w:eastAsia="zh-CN"/>
              </w:rPr>
              <w:t>教授</w:t>
            </w:r>
          </w:p>
        </w:tc>
        <w:tc>
          <w:tcPr>
            <w:tcW w:w="2280" w:type="dxa"/>
            <w:vAlign w:val="center"/>
          </w:tcPr>
          <w:p w14:paraId="75DE7094">
            <w:pPr>
              <w:rPr>
                <w:rFonts w:hint="eastAsia" w:ascii="宋体" w:hAnsi="宋体" w:eastAsia="宋体" w:cs="宋体"/>
                <w:sz w:val="20"/>
                <w:szCs w:val="20"/>
              </w:rPr>
            </w:pPr>
            <w:r>
              <w:rPr>
                <w:rFonts w:hint="eastAsia" w:ascii="宋体" w:hAnsi="宋体" w:eastAsia="宋体" w:cs="宋体"/>
                <w:sz w:val="20"/>
                <w:szCs w:val="20"/>
              </w:rPr>
              <w:t>中国教育国际交流协会国际医学教育专业委员会执行理事长</w:t>
            </w:r>
          </w:p>
        </w:tc>
        <w:tc>
          <w:tcPr>
            <w:tcW w:w="1905" w:type="dxa"/>
            <w:vAlign w:val="center"/>
          </w:tcPr>
          <w:p w14:paraId="1EF08F6F">
            <w:pPr>
              <w:rPr>
                <w:rFonts w:hint="eastAsia" w:ascii="宋体" w:hAnsi="宋体" w:eastAsia="宋体" w:cs="宋体"/>
                <w:sz w:val="20"/>
                <w:szCs w:val="20"/>
                <w:lang w:eastAsia="zh-CN"/>
              </w:rPr>
            </w:pPr>
            <w:r>
              <w:rPr>
                <w:rFonts w:hint="eastAsia" w:ascii="宋体" w:hAnsi="宋体" w:eastAsia="宋体" w:cs="宋体"/>
                <w:sz w:val="20"/>
                <w:szCs w:val="20"/>
                <w:lang w:eastAsia="zh-CN"/>
              </w:rPr>
              <w:t>项目设计、组织与实施</w:t>
            </w:r>
          </w:p>
        </w:tc>
      </w:tr>
      <w:tr w14:paraId="398D6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20B464C">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卢守四</w:t>
            </w:r>
          </w:p>
        </w:tc>
        <w:tc>
          <w:tcPr>
            <w:tcW w:w="1656" w:type="dxa"/>
            <w:vAlign w:val="center"/>
          </w:tcPr>
          <w:p w14:paraId="3411EDD6">
            <w:pPr>
              <w:rPr>
                <w:rFonts w:hint="eastAsia" w:ascii="宋体" w:hAnsi="宋体" w:eastAsia="宋体" w:cs="宋体"/>
                <w:sz w:val="20"/>
                <w:szCs w:val="20"/>
                <w:lang w:eastAsia="zh-CN"/>
              </w:rPr>
            </w:pPr>
            <w:r>
              <w:rPr>
                <w:rFonts w:hint="eastAsia" w:ascii="宋体" w:hAnsi="宋体" w:eastAsia="宋体" w:cs="宋体"/>
                <w:sz w:val="20"/>
                <w:szCs w:val="20"/>
                <w:lang w:eastAsia="zh-CN"/>
              </w:rPr>
              <w:t>中国康复研究中心</w:t>
            </w:r>
          </w:p>
        </w:tc>
        <w:tc>
          <w:tcPr>
            <w:tcW w:w="1093" w:type="dxa"/>
            <w:vAlign w:val="center"/>
          </w:tcPr>
          <w:p w14:paraId="72FC675D">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处长</w:t>
            </w:r>
          </w:p>
        </w:tc>
        <w:tc>
          <w:tcPr>
            <w:tcW w:w="947" w:type="dxa"/>
            <w:vAlign w:val="center"/>
          </w:tcPr>
          <w:p w14:paraId="2EE62708">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研究员</w:t>
            </w:r>
          </w:p>
        </w:tc>
        <w:tc>
          <w:tcPr>
            <w:tcW w:w="2280" w:type="dxa"/>
            <w:vAlign w:val="center"/>
          </w:tcPr>
          <w:p w14:paraId="64A4928A">
            <w:pPr>
              <w:rPr>
                <w:rFonts w:hint="eastAsia" w:ascii="宋体" w:hAnsi="宋体" w:eastAsia="宋体" w:cs="宋体"/>
                <w:sz w:val="20"/>
                <w:szCs w:val="20"/>
                <w:lang w:eastAsia="zh-CN"/>
              </w:rPr>
            </w:pPr>
            <w:r>
              <w:rPr>
                <w:rFonts w:hint="eastAsia" w:ascii="宋体" w:hAnsi="宋体" w:eastAsia="宋体" w:cs="宋体"/>
                <w:sz w:val="20"/>
                <w:szCs w:val="20"/>
                <w:lang w:eastAsia="zh-CN"/>
              </w:rPr>
              <w:t>中国残疾人康复协会器械临床试验质量控制专委会主任委员</w:t>
            </w:r>
          </w:p>
        </w:tc>
        <w:tc>
          <w:tcPr>
            <w:tcW w:w="1905" w:type="dxa"/>
            <w:vAlign w:val="center"/>
          </w:tcPr>
          <w:p w14:paraId="4901CFD7">
            <w:pPr>
              <w:rPr>
                <w:rFonts w:hint="eastAsia" w:ascii="宋体" w:hAnsi="宋体" w:eastAsia="宋体" w:cs="宋体"/>
                <w:sz w:val="20"/>
                <w:szCs w:val="20"/>
                <w:lang w:eastAsia="zh-CN"/>
              </w:rPr>
            </w:pPr>
            <w:r>
              <w:rPr>
                <w:rFonts w:hint="eastAsia" w:ascii="宋体" w:hAnsi="宋体" w:eastAsia="宋体" w:cs="宋体"/>
                <w:sz w:val="20"/>
                <w:szCs w:val="20"/>
                <w:lang w:eastAsia="zh-CN"/>
              </w:rPr>
              <w:t>项目设计、组织与实施</w:t>
            </w:r>
          </w:p>
        </w:tc>
      </w:tr>
      <w:tr w14:paraId="0F2D9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0B81E809">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吴俊慧</w:t>
            </w:r>
          </w:p>
        </w:tc>
        <w:tc>
          <w:tcPr>
            <w:tcW w:w="1656" w:type="dxa"/>
            <w:vAlign w:val="center"/>
          </w:tcPr>
          <w:p w14:paraId="414ABABF">
            <w:pPr>
              <w:rPr>
                <w:rFonts w:hint="eastAsia" w:ascii="宋体" w:hAnsi="宋体" w:eastAsia="宋体" w:cs="宋体"/>
                <w:sz w:val="20"/>
                <w:szCs w:val="20"/>
                <w:lang w:eastAsia="zh-CN"/>
              </w:rPr>
            </w:pPr>
            <w:r>
              <w:rPr>
                <w:rFonts w:hint="eastAsia" w:ascii="宋体" w:hAnsi="宋体" w:eastAsia="宋体" w:cs="宋体"/>
                <w:sz w:val="20"/>
                <w:szCs w:val="20"/>
                <w:lang w:eastAsia="zh-CN"/>
              </w:rPr>
              <w:t>北京大学</w:t>
            </w:r>
          </w:p>
        </w:tc>
        <w:tc>
          <w:tcPr>
            <w:tcW w:w="1093" w:type="dxa"/>
            <w:vAlign w:val="center"/>
          </w:tcPr>
          <w:p w14:paraId="64A97372">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教师</w:t>
            </w:r>
          </w:p>
        </w:tc>
        <w:tc>
          <w:tcPr>
            <w:tcW w:w="947" w:type="dxa"/>
            <w:vAlign w:val="center"/>
          </w:tcPr>
          <w:p w14:paraId="3D4B2FE7">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讲师</w:t>
            </w:r>
          </w:p>
        </w:tc>
        <w:tc>
          <w:tcPr>
            <w:tcW w:w="2280" w:type="dxa"/>
            <w:vAlign w:val="center"/>
          </w:tcPr>
          <w:p w14:paraId="154E9316">
            <w:pPr>
              <w:rPr>
                <w:rFonts w:hint="default" w:ascii="宋体" w:hAnsi="宋体" w:eastAsia="宋体" w:cs="宋体"/>
                <w:sz w:val="20"/>
                <w:szCs w:val="20"/>
                <w:lang w:val="en-US"/>
              </w:rPr>
            </w:pPr>
            <w:r>
              <w:rPr>
                <w:rFonts w:hint="eastAsia" w:ascii="宋体" w:hAnsi="宋体" w:eastAsia="宋体" w:cs="宋体"/>
                <w:sz w:val="20"/>
                <w:szCs w:val="20"/>
                <w:lang w:val="en-US" w:eastAsia="zh-CN"/>
              </w:rPr>
              <w:t>中国遗传学会代谢遗传分会委员</w:t>
            </w:r>
          </w:p>
        </w:tc>
        <w:tc>
          <w:tcPr>
            <w:tcW w:w="1905" w:type="dxa"/>
            <w:vAlign w:val="center"/>
          </w:tcPr>
          <w:p w14:paraId="05C65F53">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项目设计、组织与实施、</w:t>
            </w:r>
            <w:r>
              <w:rPr>
                <w:rFonts w:hint="eastAsia" w:ascii="宋体" w:hAnsi="宋体" w:eastAsia="宋体" w:cs="宋体"/>
                <w:sz w:val="20"/>
                <w:szCs w:val="20"/>
                <w:lang w:val="en-US" w:eastAsia="zh-CN"/>
              </w:rPr>
              <w:t>服务技术标准制定</w:t>
            </w:r>
          </w:p>
        </w:tc>
      </w:tr>
      <w:tr w14:paraId="473B1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5428FB62">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罗利</w:t>
            </w:r>
          </w:p>
        </w:tc>
        <w:tc>
          <w:tcPr>
            <w:tcW w:w="1656" w:type="dxa"/>
            <w:vAlign w:val="center"/>
          </w:tcPr>
          <w:p w14:paraId="27E12645">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四川大学</w:t>
            </w:r>
          </w:p>
        </w:tc>
        <w:tc>
          <w:tcPr>
            <w:tcW w:w="1093" w:type="dxa"/>
            <w:vAlign w:val="center"/>
          </w:tcPr>
          <w:p w14:paraId="3574E728">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所长</w:t>
            </w:r>
          </w:p>
        </w:tc>
        <w:tc>
          <w:tcPr>
            <w:tcW w:w="947" w:type="dxa"/>
            <w:vAlign w:val="center"/>
          </w:tcPr>
          <w:p w14:paraId="7F34E42E">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50B978A5">
            <w:pPr>
              <w:rPr>
                <w:rFonts w:hint="eastAsia" w:ascii="宋体" w:hAnsi="宋体" w:eastAsia="宋体" w:cs="宋体"/>
                <w:sz w:val="20"/>
                <w:szCs w:val="20"/>
              </w:rPr>
            </w:pPr>
            <w:r>
              <w:rPr>
                <w:rFonts w:hint="eastAsia" w:ascii="宋体" w:hAnsi="宋体" w:eastAsia="宋体" w:cs="宋体"/>
                <w:sz w:val="20"/>
                <w:szCs w:val="20"/>
              </w:rPr>
              <w:t>中国运筹学学会医疗运作管理分会副理事长</w:t>
            </w:r>
          </w:p>
        </w:tc>
        <w:tc>
          <w:tcPr>
            <w:tcW w:w="1905" w:type="dxa"/>
            <w:vAlign w:val="center"/>
          </w:tcPr>
          <w:p w14:paraId="0592B11B">
            <w:pPr>
              <w:rPr>
                <w:rFonts w:hint="eastAsia" w:ascii="宋体" w:hAnsi="宋体" w:eastAsia="宋体" w:cs="宋体"/>
                <w:sz w:val="20"/>
                <w:szCs w:val="20"/>
                <w:lang w:eastAsia="zh-CN"/>
              </w:rPr>
            </w:pPr>
            <w:r>
              <w:rPr>
                <w:rFonts w:hint="eastAsia" w:ascii="宋体" w:hAnsi="宋体" w:eastAsia="宋体" w:cs="宋体"/>
                <w:sz w:val="20"/>
                <w:szCs w:val="20"/>
                <w:lang w:eastAsia="zh-CN"/>
              </w:rPr>
              <w:t>项目组织与实施、标准修改补充</w:t>
            </w:r>
          </w:p>
        </w:tc>
      </w:tr>
      <w:tr w14:paraId="3384B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0841CC97">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周芳</w:t>
            </w:r>
          </w:p>
        </w:tc>
        <w:tc>
          <w:tcPr>
            <w:tcW w:w="1656" w:type="dxa"/>
            <w:vAlign w:val="center"/>
          </w:tcPr>
          <w:p w14:paraId="0B6705D3">
            <w:pPr>
              <w:rPr>
                <w:rFonts w:hint="eastAsia" w:ascii="宋体" w:hAnsi="宋体" w:eastAsia="宋体" w:cs="宋体"/>
                <w:sz w:val="20"/>
                <w:szCs w:val="20"/>
                <w:lang w:eastAsia="zh-CN"/>
              </w:rPr>
            </w:pPr>
            <w:r>
              <w:rPr>
                <w:rFonts w:hint="eastAsia" w:ascii="宋体" w:hAnsi="宋体" w:eastAsia="宋体" w:cs="宋体"/>
                <w:sz w:val="20"/>
                <w:szCs w:val="20"/>
                <w:lang w:eastAsia="zh-CN"/>
              </w:rPr>
              <w:t>徐州医科大学</w:t>
            </w:r>
          </w:p>
        </w:tc>
        <w:tc>
          <w:tcPr>
            <w:tcW w:w="1093" w:type="dxa"/>
            <w:vAlign w:val="center"/>
          </w:tcPr>
          <w:p w14:paraId="49921591">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院长</w:t>
            </w:r>
          </w:p>
        </w:tc>
        <w:tc>
          <w:tcPr>
            <w:tcW w:w="947" w:type="dxa"/>
            <w:vAlign w:val="center"/>
          </w:tcPr>
          <w:p w14:paraId="46430557">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28D56AE0">
            <w:pPr>
              <w:rPr>
                <w:rFonts w:hint="eastAsia" w:ascii="宋体" w:hAnsi="宋体" w:eastAsia="宋体" w:cs="宋体"/>
                <w:sz w:val="20"/>
                <w:szCs w:val="20"/>
              </w:rPr>
            </w:pPr>
            <w:r>
              <w:rPr>
                <w:rFonts w:hint="eastAsia" w:ascii="宋体" w:hAnsi="宋体" w:eastAsia="宋体" w:cs="宋体"/>
                <w:sz w:val="20"/>
                <w:szCs w:val="20"/>
              </w:rPr>
              <w:t>中华护理学会教育专委会青年委员主委</w:t>
            </w:r>
          </w:p>
        </w:tc>
        <w:tc>
          <w:tcPr>
            <w:tcW w:w="1905" w:type="dxa"/>
            <w:vAlign w:val="center"/>
          </w:tcPr>
          <w:p w14:paraId="376E71E9">
            <w:pPr>
              <w:rPr>
                <w:rFonts w:hint="eastAsia" w:ascii="宋体" w:hAnsi="宋体" w:eastAsia="宋体" w:cs="宋体"/>
                <w:sz w:val="20"/>
                <w:szCs w:val="20"/>
                <w:lang w:eastAsia="zh-CN"/>
              </w:rPr>
            </w:pPr>
            <w:r>
              <w:rPr>
                <w:rFonts w:hint="eastAsia" w:ascii="宋体" w:hAnsi="宋体" w:eastAsia="宋体" w:cs="宋体"/>
                <w:sz w:val="20"/>
                <w:szCs w:val="20"/>
                <w:lang w:eastAsia="zh-CN"/>
              </w:rPr>
              <w:t>项目组织与实施、标准修改补充</w:t>
            </w:r>
          </w:p>
        </w:tc>
      </w:tr>
      <w:tr w14:paraId="475A9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5AFE5BC">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周迎生</w:t>
            </w:r>
          </w:p>
        </w:tc>
        <w:tc>
          <w:tcPr>
            <w:tcW w:w="1656" w:type="dxa"/>
            <w:vAlign w:val="center"/>
          </w:tcPr>
          <w:p w14:paraId="2ED4A39D">
            <w:pPr>
              <w:rPr>
                <w:rFonts w:hint="eastAsia" w:ascii="宋体" w:hAnsi="宋体" w:eastAsia="宋体" w:cs="宋体"/>
                <w:sz w:val="20"/>
                <w:szCs w:val="20"/>
                <w:lang w:eastAsia="zh-CN"/>
              </w:rPr>
            </w:pPr>
            <w:r>
              <w:rPr>
                <w:rFonts w:hint="eastAsia" w:ascii="宋体" w:hAnsi="宋体" w:eastAsia="宋体" w:cs="宋体"/>
                <w:sz w:val="20"/>
                <w:szCs w:val="20"/>
                <w:lang w:eastAsia="zh-CN"/>
              </w:rPr>
              <w:t>首都医科大学附属北京安贞医院</w:t>
            </w:r>
          </w:p>
        </w:tc>
        <w:tc>
          <w:tcPr>
            <w:tcW w:w="1093" w:type="dxa"/>
            <w:vAlign w:val="center"/>
          </w:tcPr>
          <w:p w14:paraId="508D9E96">
            <w:pPr>
              <w:rPr>
                <w:rFonts w:hint="eastAsia" w:ascii="宋体" w:hAnsi="宋体" w:eastAsia="宋体" w:cs="宋体"/>
                <w:sz w:val="20"/>
                <w:szCs w:val="20"/>
                <w:lang w:eastAsia="zh-CN"/>
              </w:rPr>
            </w:pPr>
          </w:p>
        </w:tc>
        <w:tc>
          <w:tcPr>
            <w:tcW w:w="947" w:type="dxa"/>
            <w:vAlign w:val="center"/>
          </w:tcPr>
          <w:p w14:paraId="5FB5E2F0">
            <w:pPr>
              <w:rPr>
                <w:rFonts w:hint="eastAsia"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1B464940">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中华预防医学会糖尿病防控专委会主任委员</w:t>
            </w:r>
          </w:p>
        </w:tc>
        <w:tc>
          <w:tcPr>
            <w:tcW w:w="1905" w:type="dxa"/>
            <w:vAlign w:val="center"/>
          </w:tcPr>
          <w:p w14:paraId="7F977B63">
            <w:pPr>
              <w:rPr>
                <w:rFonts w:hint="eastAsia" w:ascii="宋体" w:hAnsi="宋体" w:eastAsia="宋体" w:cs="宋体"/>
                <w:sz w:val="20"/>
                <w:szCs w:val="20"/>
                <w:lang w:eastAsia="zh-CN"/>
              </w:rPr>
            </w:pPr>
            <w:r>
              <w:rPr>
                <w:rFonts w:hint="eastAsia" w:ascii="宋体" w:hAnsi="宋体" w:eastAsia="宋体" w:cs="宋体"/>
                <w:sz w:val="20"/>
                <w:szCs w:val="20"/>
                <w:lang w:eastAsia="zh-CN"/>
              </w:rPr>
              <w:t>项目组织与实施、标准修改补充</w:t>
            </w:r>
          </w:p>
        </w:tc>
      </w:tr>
      <w:tr w14:paraId="630DDB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0BFAC8FE">
            <w:pPr>
              <w:rPr>
                <w:rFonts w:hint="eastAsia" w:ascii="宋体" w:hAnsi="宋体" w:eastAsia="宋体" w:cs="宋体"/>
                <w:sz w:val="20"/>
                <w:szCs w:val="20"/>
                <w:lang w:eastAsia="zh-CN"/>
              </w:rPr>
            </w:pPr>
            <w:r>
              <w:rPr>
                <w:rFonts w:hint="eastAsia" w:ascii="宋体" w:hAnsi="宋体" w:eastAsia="宋体" w:cs="宋体"/>
                <w:sz w:val="20"/>
                <w:szCs w:val="20"/>
                <w:lang w:eastAsia="zh-CN"/>
              </w:rPr>
              <w:t>邓仁丽</w:t>
            </w:r>
          </w:p>
        </w:tc>
        <w:tc>
          <w:tcPr>
            <w:tcW w:w="1656" w:type="dxa"/>
            <w:vAlign w:val="center"/>
          </w:tcPr>
          <w:p w14:paraId="6D73A4A3">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遵义医科大学</w:t>
            </w:r>
          </w:p>
        </w:tc>
        <w:tc>
          <w:tcPr>
            <w:tcW w:w="1093" w:type="dxa"/>
            <w:vAlign w:val="center"/>
          </w:tcPr>
          <w:p w14:paraId="5CB0DE6F">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院长</w:t>
            </w:r>
          </w:p>
        </w:tc>
        <w:tc>
          <w:tcPr>
            <w:tcW w:w="947" w:type="dxa"/>
            <w:vAlign w:val="center"/>
          </w:tcPr>
          <w:p w14:paraId="3BA6E4F2">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3627AE72">
            <w:pPr>
              <w:rPr>
                <w:rFonts w:hint="eastAsia" w:ascii="宋体" w:hAnsi="宋体" w:eastAsia="宋体" w:cs="宋体"/>
                <w:sz w:val="20"/>
                <w:szCs w:val="20"/>
                <w:lang w:eastAsia="zh-CN"/>
              </w:rPr>
            </w:pPr>
            <w:r>
              <w:rPr>
                <w:rFonts w:hint="eastAsia" w:ascii="宋体" w:hAnsi="宋体" w:eastAsia="宋体" w:cs="宋体"/>
                <w:i w:val="0"/>
                <w:iCs w:val="0"/>
                <w:caps w:val="0"/>
                <w:color w:val="000000"/>
                <w:spacing w:val="0"/>
                <w:sz w:val="20"/>
                <w:szCs w:val="20"/>
              </w:rPr>
              <w:t>中华预防医学会卫生保健分会委员</w:t>
            </w:r>
          </w:p>
        </w:tc>
        <w:tc>
          <w:tcPr>
            <w:tcW w:w="1905" w:type="dxa"/>
            <w:vAlign w:val="center"/>
          </w:tcPr>
          <w:p w14:paraId="6A4A99CB">
            <w:pPr>
              <w:rPr>
                <w:rFonts w:hint="eastAsia" w:ascii="宋体" w:hAnsi="宋体" w:eastAsia="宋体" w:cs="宋体"/>
                <w:sz w:val="20"/>
                <w:szCs w:val="20"/>
                <w:lang w:eastAsia="zh-CN"/>
              </w:rPr>
            </w:pPr>
            <w:r>
              <w:rPr>
                <w:rFonts w:hint="eastAsia" w:ascii="宋体" w:hAnsi="宋体" w:eastAsia="宋体" w:cs="宋体"/>
                <w:sz w:val="20"/>
                <w:szCs w:val="20"/>
                <w:lang w:eastAsia="zh-CN"/>
              </w:rPr>
              <w:t>项目组织与实施、标准修改补充</w:t>
            </w:r>
          </w:p>
        </w:tc>
      </w:tr>
      <w:tr w14:paraId="1C685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313D1AA">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芦文丽</w:t>
            </w:r>
          </w:p>
        </w:tc>
        <w:tc>
          <w:tcPr>
            <w:tcW w:w="1656" w:type="dxa"/>
            <w:vAlign w:val="center"/>
          </w:tcPr>
          <w:p w14:paraId="30948FF9">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天津医科大学</w:t>
            </w:r>
          </w:p>
        </w:tc>
        <w:tc>
          <w:tcPr>
            <w:tcW w:w="1093" w:type="dxa"/>
            <w:vAlign w:val="center"/>
          </w:tcPr>
          <w:p w14:paraId="766C6864">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w:t>
            </w:r>
          </w:p>
        </w:tc>
        <w:tc>
          <w:tcPr>
            <w:tcW w:w="947" w:type="dxa"/>
            <w:vAlign w:val="center"/>
          </w:tcPr>
          <w:p w14:paraId="30441CCA">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111947FF">
            <w:pPr>
              <w:rPr>
                <w:rFonts w:hint="eastAsia" w:ascii="宋体" w:hAnsi="宋体" w:eastAsia="宋体" w:cs="宋体"/>
                <w:sz w:val="20"/>
                <w:szCs w:val="20"/>
                <w:lang w:eastAsia="zh-CN"/>
              </w:rPr>
            </w:pPr>
            <w:r>
              <w:rPr>
                <w:rFonts w:hint="eastAsia" w:ascii="宋体" w:hAnsi="宋体" w:eastAsia="宋体" w:cs="宋体"/>
                <w:sz w:val="20"/>
                <w:szCs w:val="20"/>
                <w:lang w:eastAsia="zh-CN"/>
              </w:rPr>
              <w:t>中国社区卫生协会会员</w:t>
            </w:r>
          </w:p>
        </w:tc>
        <w:tc>
          <w:tcPr>
            <w:tcW w:w="1905" w:type="dxa"/>
            <w:vAlign w:val="center"/>
          </w:tcPr>
          <w:p w14:paraId="1333D2BA">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项目组织与实施、标准修改补充</w:t>
            </w:r>
          </w:p>
        </w:tc>
      </w:tr>
      <w:tr w14:paraId="17EA93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095A4BA3">
            <w:pPr>
              <w:rPr>
                <w:rFonts w:hint="eastAsia" w:ascii="宋体" w:hAnsi="宋体" w:eastAsia="宋体" w:cs="宋体"/>
                <w:sz w:val="20"/>
                <w:szCs w:val="20"/>
                <w:lang w:eastAsia="zh-CN"/>
              </w:rPr>
            </w:pPr>
            <w:r>
              <w:rPr>
                <w:rFonts w:hint="eastAsia" w:ascii="宋体" w:hAnsi="宋体" w:eastAsia="宋体" w:cs="宋体"/>
                <w:sz w:val="20"/>
                <w:szCs w:val="20"/>
                <w:lang w:eastAsia="zh-CN"/>
              </w:rPr>
              <w:t>李华南</w:t>
            </w:r>
          </w:p>
        </w:tc>
        <w:tc>
          <w:tcPr>
            <w:tcW w:w="1656" w:type="dxa"/>
            <w:vAlign w:val="center"/>
          </w:tcPr>
          <w:p w14:paraId="4611A588">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天津中医药大学第一附属医院</w:t>
            </w:r>
          </w:p>
        </w:tc>
        <w:tc>
          <w:tcPr>
            <w:tcW w:w="1093" w:type="dxa"/>
            <w:vAlign w:val="center"/>
          </w:tcPr>
          <w:p w14:paraId="0EBFA573">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处长</w:t>
            </w:r>
          </w:p>
        </w:tc>
        <w:tc>
          <w:tcPr>
            <w:tcW w:w="947" w:type="dxa"/>
            <w:vAlign w:val="center"/>
          </w:tcPr>
          <w:p w14:paraId="5CA48AE8">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3D7A0252">
            <w:pPr>
              <w:rPr>
                <w:rFonts w:hint="eastAsia" w:ascii="宋体" w:hAnsi="宋体" w:eastAsia="宋体" w:cs="宋体"/>
                <w:sz w:val="20"/>
                <w:szCs w:val="20"/>
                <w:lang w:eastAsia="zh-CN"/>
              </w:rPr>
            </w:pPr>
            <w:r>
              <w:rPr>
                <w:rFonts w:hint="eastAsia" w:ascii="宋体" w:hAnsi="宋体" w:eastAsia="宋体" w:cs="宋体"/>
                <w:sz w:val="20"/>
                <w:szCs w:val="20"/>
                <w:lang w:eastAsia="zh-CN"/>
              </w:rPr>
              <w:t>中华中医药学会推拿分会副秘书长</w:t>
            </w:r>
          </w:p>
        </w:tc>
        <w:tc>
          <w:tcPr>
            <w:tcW w:w="1905" w:type="dxa"/>
            <w:vAlign w:val="center"/>
          </w:tcPr>
          <w:p w14:paraId="4D418A93">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55167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6EEA9570">
            <w:pPr>
              <w:rPr>
                <w:rFonts w:hint="eastAsia" w:ascii="宋体" w:hAnsi="宋体" w:eastAsia="宋体" w:cs="宋体"/>
                <w:sz w:val="20"/>
                <w:szCs w:val="20"/>
                <w:lang w:eastAsia="zh-CN"/>
              </w:rPr>
            </w:pPr>
            <w:r>
              <w:rPr>
                <w:rFonts w:hint="eastAsia" w:ascii="宋体" w:hAnsi="宋体" w:eastAsia="宋体" w:cs="宋体"/>
                <w:sz w:val="20"/>
                <w:szCs w:val="20"/>
                <w:lang w:eastAsia="zh-CN"/>
              </w:rPr>
              <w:t>安占天</w:t>
            </w:r>
          </w:p>
        </w:tc>
        <w:tc>
          <w:tcPr>
            <w:tcW w:w="1656" w:type="dxa"/>
            <w:vAlign w:val="center"/>
          </w:tcPr>
          <w:p w14:paraId="34F28750">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新疆哈密十三师红星医院</w:t>
            </w:r>
          </w:p>
        </w:tc>
        <w:tc>
          <w:tcPr>
            <w:tcW w:w="1093" w:type="dxa"/>
            <w:vAlign w:val="center"/>
          </w:tcPr>
          <w:p w14:paraId="7B2923A3">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院长</w:t>
            </w:r>
          </w:p>
        </w:tc>
        <w:tc>
          <w:tcPr>
            <w:tcW w:w="947" w:type="dxa"/>
            <w:vAlign w:val="center"/>
          </w:tcPr>
          <w:p w14:paraId="37A3E1EA">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主任医师</w:t>
            </w:r>
          </w:p>
        </w:tc>
        <w:tc>
          <w:tcPr>
            <w:tcW w:w="2280" w:type="dxa"/>
            <w:vAlign w:val="center"/>
          </w:tcPr>
          <w:p w14:paraId="1B32C705">
            <w:pPr>
              <w:rPr>
                <w:rFonts w:hint="eastAsia" w:ascii="宋体" w:hAnsi="宋体" w:eastAsia="宋体" w:cs="宋体"/>
                <w:sz w:val="20"/>
                <w:szCs w:val="20"/>
                <w:lang w:eastAsia="zh-CN"/>
              </w:rPr>
            </w:pPr>
            <w:r>
              <w:rPr>
                <w:rFonts w:hint="eastAsia" w:ascii="宋体" w:hAnsi="宋体" w:eastAsia="宋体" w:cs="宋体"/>
                <w:sz w:val="20"/>
                <w:szCs w:val="20"/>
                <w:lang w:eastAsia="zh-CN"/>
              </w:rPr>
              <w:t>中国研究型医院学会微无创诊疗专业委员会副主任委员</w:t>
            </w:r>
          </w:p>
        </w:tc>
        <w:tc>
          <w:tcPr>
            <w:tcW w:w="1905" w:type="dxa"/>
            <w:vAlign w:val="center"/>
          </w:tcPr>
          <w:p w14:paraId="3CD22ECE">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15FBEA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738132F0">
            <w:pPr>
              <w:rPr>
                <w:rFonts w:hint="eastAsia" w:ascii="宋体" w:hAnsi="宋体" w:eastAsia="宋体" w:cs="宋体"/>
                <w:sz w:val="20"/>
                <w:szCs w:val="20"/>
                <w:lang w:eastAsia="zh-CN"/>
              </w:rPr>
            </w:pPr>
            <w:r>
              <w:rPr>
                <w:rFonts w:hint="eastAsia" w:ascii="宋体" w:hAnsi="宋体" w:eastAsia="宋体" w:cs="宋体"/>
                <w:sz w:val="20"/>
                <w:szCs w:val="20"/>
                <w:lang w:eastAsia="zh-CN"/>
              </w:rPr>
              <w:t>王勇勇</w:t>
            </w:r>
          </w:p>
        </w:tc>
        <w:tc>
          <w:tcPr>
            <w:tcW w:w="1656" w:type="dxa"/>
            <w:vAlign w:val="center"/>
          </w:tcPr>
          <w:p w14:paraId="3C9E2B42">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陕西省康复医院</w:t>
            </w:r>
          </w:p>
        </w:tc>
        <w:tc>
          <w:tcPr>
            <w:tcW w:w="1093" w:type="dxa"/>
            <w:vAlign w:val="center"/>
          </w:tcPr>
          <w:p w14:paraId="7516DC66">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副院长</w:t>
            </w:r>
          </w:p>
        </w:tc>
        <w:tc>
          <w:tcPr>
            <w:tcW w:w="947" w:type="dxa"/>
            <w:vAlign w:val="center"/>
          </w:tcPr>
          <w:p w14:paraId="1D0614F3">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副主任治疗师</w:t>
            </w:r>
          </w:p>
        </w:tc>
        <w:tc>
          <w:tcPr>
            <w:tcW w:w="2280" w:type="dxa"/>
            <w:vAlign w:val="center"/>
          </w:tcPr>
          <w:p w14:paraId="123EB82E">
            <w:pPr>
              <w:rPr>
                <w:rFonts w:hint="eastAsia" w:ascii="宋体" w:hAnsi="宋体" w:eastAsia="宋体" w:cs="宋体"/>
                <w:sz w:val="20"/>
                <w:szCs w:val="20"/>
                <w:lang w:eastAsia="zh-CN"/>
              </w:rPr>
            </w:pPr>
            <w:r>
              <w:rPr>
                <w:rFonts w:hint="eastAsia" w:ascii="宋体" w:hAnsi="宋体" w:eastAsia="宋体" w:cs="宋体"/>
                <w:sz w:val="20"/>
                <w:szCs w:val="20"/>
                <w:lang w:eastAsia="zh-CN"/>
              </w:rPr>
              <w:t>中国康复医学会循证康复医学工作委员会委员兼秘书长</w:t>
            </w:r>
          </w:p>
        </w:tc>
        <w:tc>
          <w:tcPr>
            <w:tcW w:w="1905" w:type="dxa"/>
            <w:vAlign w:val="center"/>
          </w:tcPr>
          <w:p w14:paraId="54AB27C4">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4180A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6D380630">
            <w:pPr>
              <w:rPr>
                <w:rFonts w:hint="eastAsia" w:ascii="宋体" w:hAnsi="宋体" w:eastAsia="宋体" w:cs="宋体"/>
                <w:sz w:val="20"/>
                <w:szCs w:val="20"/>
                <w:lang w:eastAsia="zh-CN"/>
              </w:rPr>
            </w:pPr>
            <w:r>
              <w:rPr>
                <w:rFonts w:hint="eastAsia" w:ascii="宋体" w:hAnsi="宋体" w:eastAsia="宋体" w:cs="宋体"/>
                <w:sz w:val="20"/>
                <w:szCs w:val="20"/>
                <w:lang w:eastAsia="zh-CN"/>
              </w:rPr>
              <w:t>卜丽</w:t>
            </w:r>
          </w:p>
        </w:tc>
        <w:tc>
          <w:tcPr>
            <w:tcW w:w="1656" w:type="dxa"/>
            <w:vAlign w:val="center"/>
          </w:tcPr>
          <w:p w14:paraId="12EF21E4">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辽宁省金秋医院</w:t>
            </w:r>
          </w:p>
        </w:tc>
        <w:tc>
          <w:tcPr>
            <w:tcW w:w="1093" w:type="dxa"/>
            <w:vAlign w:val="center"/>
          </w:tcPr>
          <w:p w14:paraId="24718913">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副院长</w:t>
            </w:r>
          </w:p>
        </w:tc>
        <w:tc>
          <w:tcPr>
            <w:tcW w:w="947" w:type="dxa"/>
            <w:vAlign w:val="center"/>
          </w:tcPr>
          <w:p w14:paraId="36A6A93A">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主任医师</w:t>
            </w:r>
          </w:p>
        </w:tc>
        <w:tc>
          <w:tcPr>
            <w:tcW w:w="2280" w:type="dxa"/>
            <w:vAlign w:val="center"/>
          </w:tcPr>
          <w:p w14:paraId="51DA1CE9">
            <w:pPr>
              <w:rPr>
                <w:rFonts w:hint="eastAsia" w:ascii="宋体" w:hAnsi="宋体" w:eastAsia="宋体" w:cs="宋体"/>
                <w:sz w:val="20"/>
                <w:szCs w:val="20"/>
                <w:lang w:eastAsia="zh-CN"/>
              </w:rPr>
            </w:pPr>
            <w:r>
              <w:rPr>
                <w:rFonts w:hint="eastAsia" w:ascii="宋体" w:hAnsi="宋体" w:eastAsia="宋体" w:cs="宋体"/>
                <w:sz w:val="20"/>
                <w:szCs w:val="20"/>
                <w:lang w:eastAsia="zh-CN"/>
              </w:rPr>
              <w:t>中国老年学和老年医学学会老年医学科建设分会副主任委员</w:t>
            </w:r>
          </w:p>
        </w:tc>
        <w:tc>
          <w:tcPr>
            <w:tcW w:w="1905" w:type="dxa"/>
            <w:vAlign w:val="center"/>
          </w:tcPr>
          <w:p w14:paraId="29B09A69">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5D74A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38726DC8">
            <w:pPr>
              <w:rPr>
                <w:rFonts w:hint="eastAsia" w:ascii="宋体" w:hAnsi="宋体" w:eastAsia="宋体" w:cs="宋体"/>
                <w:sz w:val="20"/>
                <w:szCs w:val="20"/>
                <w:lang w:eastAsia="zh-CN"/>
              </w:rPr>
            </w:pPr>
            <w:r>
              <w:rPr>
                <w:rFonts w:hint="eastAsia" w:ascii="宋体" w:hAnsi="宋体" w:eastAsia="宋体" w:cs="宋体"/>
                <w:sz w:val="20"/>
                <w:szCs w:val="20"/>
                <w:lang w:eastAsia="zh-CN"/>
              </w:rPr>
              <w:t>陈大军</w:t>
            </w:r>
          </w:p>
        </w:tc>
        <w:tc>
          <w:tcPr>
            <w:tcW w:w="1656" w:type="dxa"/>
            <w:vAlign w:val="center"/>
          </w:tcPr>
          <w:p w14:paraId="33811E82">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广东省工伤康复医院</w:t>
            </w:r>
          </w:p>
        </w:tc>
        <w:tc>
          <w:tcPr>
            <w:tcW w:w="1093" w:type="dxa"/>
            <w:vAlign w:val="center"/>
          </w:tcPr>
          <w:p w14:paraId="68A5D8D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院长</w:t>
            </w:r>
          </w:p>
        </w:tc>
        <w:tc>
          <w:tcPr>
            <w:tcW w:w="947" w:type="dxa"/>
            <w:vAlign w:val="center"/>
          </w:tcPr>
          <w:p w14:paraId="4C9A83C5">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主任医师</w:t>
            </w:r>
          </w:p>
        </w:tc>
        <w:tc>
          <w:tcPr>
            <w:tcW w:w="2280" w:type="dxa"/>
            <w:vAlign w:val="center"/>
          </w:tcPr>
          <w:p w14:paraId="3C7E925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1905" w:type="dxa"/>
            <w:vAlign w:val="center"/>
          </w:tcPr>
          <w:p w14:paraId="1F8D1732">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6C17F8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74EAE751">
            <w:pPr>
              <w:rPr>
                <w:rFonts w:hint="eastAsia" w:ascii="宋体" w:hAnsi="宋体" w:eastAsia="宋体" w:cs="宋体"/>
                <w:sz w:val="20"/>
                <w:szCs w:val="20"/>
                <w:lang w:eastAsia="zh-CN"/>
              </w:rPr>
            </w:pPr>
            <w:r>
              <w:rPr>
                <w:rFonts w:hint="eastAsia" w:ascii="宋体" w:hAnsi="宋体" w:eastAsia="宋体" w:cs="宋体"/>
                <w:sz w:val="20"/>
                <w:szCs w:val="20"/>
                <w:lang w:eastAsia="zh-CN"/>
              </w:rPr>
              <w:t>邵鸿生</w:t>
            </w:r>
          </w:p>
        </w:tc>
        <w:tc>
          <w:tcPr>
            <w:tcW w:w="1656" w:type="dxa"/>
            <w:vAlign w:val="center"/>
          </w:tcPr>
          <w:p w14:paraId="4C584272">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甘肃省康复中心医院</w:t>
            </w:r>
          </w:p>
        </w:tc>
        <w:tc>
          <w:tcPr>
            <w:tcW w:w="1093" w:type="dxa"/>
            <w:vAlign w:val="center"/>
          </w:tcPr>
          <w:p w14:paraId="4CF5DE1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w:t>
            </w:r>
          </w:p>
        </w:tc>
        <w:tc>
          <w:tcPr>
            <w:tcW w:w="947" w:type="dxa"/>
            <w:vAlign w:val="center"/>
          </w:tcPr>
          <w:p w14:paraId="27AC54AF">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主任医师</w:t>
            </w:r>
          </w:p>
        </w:tc>
        <w:tc>
          <w:tcPr>
            <w:tcW w:w="2280" w:type="dxa"/>
            <w:vAlign w:val="center"/>
          </w:tcPr>
          <w:p w14:paraId="6C2F4F1F">
            <w:pPr>
              <w:rPr>
                <w:rFonts w:hint="default" w:ascii="宋体" w:hAnsi="宋体" w:eastAsia="宋体" w:cs="宋体"/>
                <w:sz w:val="20"/>
                <w:szCs w:val="20"/>
                <w:lang w:val="en-US" w:eastAsia="zh-CN"/>
              </w:rPr>
            </w:pPr>
            <w:r>
              <w:rPr>
                <w:rFonts w:hint="default" w:ascii="宋体" w:hAnsi="宋体" w:eastAsia="宋体" w:cs="宋体"/>
                <w:sz w:val="20"/>
                <w:szCs w:val="20"/>
                <w:lang w:val="en-US" w:eastAsia="zh-CN"/>
              </w:rPr>
              <w:t>中国医师协会介入分会副主任委员</w:t>
            </w:r>
          </w:p>
        </w:tc>
        <w:tc>
          <w:tcPr>
            <w:tcW w:w="1905" w:type="dxa"/>
            <w:vAlign w:val="center"/>
          </w:tcPr>
          <w:p w14:paraId="0F1EC543">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2ADEBF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56AA443">
            <w:pPr>
              <w:rPr>
                <w:rFonts w:hint="eastAsia" w:ascii="宋体" w:hAnsi="宋体" w:eastAsia="宋体" w:cs="宋体"/>
                <w:sz w:val="20"/>
                <w:szCs w:val="20"/>
                <w:lang w:eastAsia="zh-CN"/>
              </w:rPr>
            </w:pPr>
            <w:r>
              <w:rPr>
                <w:rFonts w:hint="eastAsia" w:ascii="宋体" w:hAnsi="宋体" w:eastAsia="宋体" w:cs="宋体"/>
                <w:sz w:val="20"/>
                <w:szCs w:val="20"/>
                <w:lang w:eastAsia="zh-CN"/>
              </w:rPr>
              <w:t>董超群</w:t>
            </w:r>
          </w:p>
        </w:tc>
        <w:tc>
          <w:tcPr>
            <w:tcW w:w="1656" w:type="dxa"/>
            <w:vAlign w:val="center"/>
          </w:tcPr>
          <w:p w14:paraId="1179E3A0">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温州医科大学</w:t>
            </w:r>
          </w:p>
        </w:tc>
        <w:tc>
          <w:tcPr>
            <w:tcW w:w="1093" w:type="dxa"/>
            <w:vAlign w:val="center"/>
          </w:tcPr>
          <w:p w14:paraId="574CD06A">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院长</w:t>
            </w:r>
          </w:p>
        </w:tc>
        <w:tc>
          <w:tcPr>
            <w:tcW w:w="947" w:type="dxa"/>
            <w:vAlign w:val="center"/>
          </w:tcPr>
          <w:p w14:paraId="659EB1B7">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教授</w:t>
            </w:r>
          </w:p>
        </w:tc>
        <w:tc>
          <w:tcPr>
            <w:tcW w:w="2280" w:type="dxa"/>
            <w:vAlign w:val="center"/>
          </w:tcPr>
          <w:p w14:paraId="713F0077">
            <w:pPr>
              <w:rPr>
                <w:rFonts w:hint="eastAsia" w:ascii="宋体" w:hAnsi="宋体" w:eastAsia="宋体" w:cs="宋体"/>
                <w:sz w:val="20"/>
                <w:szCs w:val="20"/>
                <w:lang w:val="en-US" w:eastAsia="zh-CN"/>
              </w:rPr>
            </w:pPr>
            <w:r>
              <w:rPr>
                <w:rFonts w:hint="default" w:ascii="宋体" w:hAnsi="宋体" w:eastAsia="宋体" w:cs="宋体"/>
                <w:sz w:val="20"/>
                <w:szCs w:val="20"/>
                <w:lang w:val="en-US" w:eastAsia="zh-CN"/>
              </w:rPr>
              <w:t>浙江省护理学会心理卫生专业委员会委员</w:t>
            </w:r>
          </w:p>
        </w:tc>
        <w:tc>
          <w:tcPr>
            <w:tcW w:w="1905" w:type="dxa"/>
            <w:vAlign w:val="center"/>
          </w:tcPr>
          <w:p w14:paraId="2FFAC405">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3C6BF4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498421AC">
            <w:pPr>
              <w:rPr>
                <w:rFonts w:hint="eastAsia" w:ascii="宋体" w:hAnsi="宋体" w:eastAsia="宋体" w:cs="宋体"/>
                <w:sz w:val="20"/>
                <w:szCs w:val="20"/>
                <w:lang w:eastAsia="zh-CN"/>
              </w:rPr>
            </w:pPr>
            <w:r>
              <w:rPr>
                <w:rFonts w:hint="eastAsia" w:ascii="宋体" w:hAnsi="宋体" w:eastAsia="宋体" w:cs="宋体"/>
                <w:sz w:val="20"/>
                <w:szCs w:val="20"/>
                <w:lang w:eastAsia="zh-CN"/>
              </w:rPr>
              <w:t>徐彬</w:t>
            </w:r>
          </w:p>
        </w:tc>
        <w:tc>
          <w:tcPr>
            <w:tcW w:w="1656" w:type="dxa"/>
            <w:vAlign w:val="center"/>
          </w:tcPr>
          <w:p w14:paraId="1249CD21">
            <w:pPr>
              <w:rPr>
                <w:rFonts w:hint="default" w:ascii="宋体" w:hAnsi="宋体" w:eastAsia="宋体" w:cs="宋体"/>
                <w:sz w:val="20"/>
                <w:szCs w:val="20"/>
                <w:lang w:val="en-US" w:eastAsia="zh-CN"/>
              </w:rPr>
            </w:pPr>
            <w:r>
              <w:rPr>
                <w:rFonts w:hint="eastAsia" w:ascii="宋体" w:hAnsi="宋体" w:eastAsia="宋体" w:cs="宋体"/>
                <w:sz w:val="20"/>
                <w:szCs w:val="20"/>
                <w:lang w:eastAsia="zh-CN"/>
              </w:rPr>
              <w:t>浙江省康复医疗中心</w:t>
            </w:r>
          </w:p>
        </w:tc>
        <w:tc>
          <w:tcPr>
            <w:tcW w:w="1093" w:type="dxa"/>
            <w:vAlign w:val="center"/>
          </w:tcPr>
          <w:p w14:paraId="0B14425F">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副主任</w:t>
            </w:r>
          </w:p>
        </w:tc>
        <w:tc>
          <w:tcPr>
            <w:tcW w:w="947" w:type="dxa"/>
            <w:vAlign w:val="center"/>
          </w:tcPr>
          <w:p w14:paraId="03F9F341">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副主任医师</w:t>
            </w:r>
          </w:p>
        </w:tc>
        <w:tc>
          <w:tcPr>
            <w:tcW w:w="2280" w:type="dxa"/>
            <w:vAlign w:val="center"/>
          </w:tcPr>
          <w:p w14:paraId="4861E9DA">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中国康复医学会修复重建外科专业委员会委员</w:t>
            </w:r>
          </w:p>
        </w:tc>
        <w:tc>
          <w:tcPr>
            <w:tcW w:w="1905" w:type="dxa"/>
            <w:vAlign w:val="center"/>
          </w:tcPr>
          <w:p w14:paraId="78F1837A">
            <w:pPr>
              <w:rPr>
                <w:rFonts w:hint="eastAsia" w:ascii="宋体" w:hAnsi="宋体" w:eastAsia="宋体" w:cs="宋体"/>
                <w:sz w:val="20"/>
                <w:szCs w:val="20"/>
                <w:lang w:eastAsia="zh-CN"/>
              </w:rPr>
            </w:pPr>
            <w:r>
              <w:rPr>
                <w:rFonts w:hint="eastAsia" w:ascii="宋体" w:hAnsi="宋体" w:eastAsia="宋体" w:cs="宋体"/>
                <w:sz w:val="20"/>
                <w:szCs w:val="20"/>
                <w:lang w:eastAsia="zh-CN"/>
              </w:rPr>
              <w:t>标准修改补充、</w:t>
            </w:r>
            <w:r>
              <w:rPr>
                <w:rFonts w:hint="eastAsia" w:ascii="宋体" w:hAnsi="宋体" w:eastAsia="宋体" w:cs="宋体"/>
                <w:sz w:val="20"/>
                <w:szCs w:val="20"/>
                <w:lang w:val="en-US" w:eastAsia="zh-CN"/>
              </w:rPr>
              <w:t>标准推广与应用</w:t>
            </w:r>
          </w:p>
        </w:tc>
      </w:tr>
      <w:tr w14:paraId="0A7D5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69FF9536">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刘梦玲</w:t>
            </w:r>
          </w:p>
        </w:tc>
        <w:tc>
          <w:tcPr>
            <w:tcW w:w="1656" w:type="dxa"/>
            <w:vAlign w:val="center"/>
          </w:tcPr>
          <w:p w14:paraId="71BBD4D0">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九江学院</w:t>
            </w:r>
          </w:p>
        </w:tc>
        <w:tc>
          <w:tcPr>
            <w:tcW w:w="1093" w:type="dxa"/>
            <w:vAlign w:val="center"/>
          </w:tcPr>
          <w:p w14:paraId="761CD628">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团委书记</w:t>
            </w:r>
          </w:p>
        </w:tc>
        <w:tc>
          <w:tcPr>
            <w:tcW w:w="947" w:type="dxa"/>
            <w:vAlign w:val="center"/>
          </w:tcPr>
          <w:p w14:paraId="7A796C21">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讲师</w:t>
            </w:r>
          </w:p>
        </w:tc>
        <w:tc>
          <w:tcPr>
            <w:tcW w:w="2280" w:type="dxa"/>
            <w:vAlign w:val="center"/>
          </w:tcPr>
          <w:p w14:paraId="295D355E">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1905" w:type="dxa"/>
            <w:vAlign w:val="center"/>
          </w:tcPr>
          <w:p w14:paraId="0240D2D1">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服务技术标准制定</w:t>
            </w:r>
          </w:p>
        </w:tc>
      </w:tr>
      <w:tr w14:paraId="34237E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74CB1E13">
            <w:pPr>
              <w:rPr>
                <w:rFonts w:hint="eastAsia" w:ascii="宋体" w:hAnsi="宋体" w:eastAsia="宋体" w:cs="宋体"/>
                <w:sz w:val="20"/>
                <w:szCs w:val="20"/>
                <w:lang w:eastAsia="zh-CN"/>
              </w:rPr>
            </w:pPr>
            <w:r>
              <w:rPr>
                <w:rFonts w:hint="eastAsia" w:ascii="宋体" w:hAnsi="宋体" w:eastAsia="宋体" w:cs="宋体"/>
                <w:sz w:val="20"/>
                <w:szCs w:val="20"/>
                <w:lang w:eastAsia="zh-CN"/>
              </w:rPr>
              <w:t>段熠</w:t>
            </w:r>
          </w:p>
        </w:tc>
        <w:tc>
          <w:tcPr>
            <w:tcW w:w="1656" w:type="dxa"/>
            <w:vAlign w:val="center"/>
          </w:tcPr>
          <w:p w14:paraId="778CC7E8">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北京大学</w:t>
            </w:r>
          </w:p>
        </w:tc>
        <w:tc>
          <w:tcPr>
            <w:tcW w:w="1093" w:type="dxa"/>
            <w:vAlign w:val="center"/>
          </w:tcPr>
          <w:p w14:paraId="5B752C26">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947" w:type="dxa"/>
            <w:vAlign w:val="center"/>
          </w:tcPr>
          <w:p w14:paraId="5F1BB44D">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2280" w:type="dxa"/>
            <w:vAlign w:val="center"/>
          </w:tcPr>
          <w:p w14:paraId="62406188">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无</w:t>
            </w:r>
          </w:p>
        </w:tc>
        <w:tc>
          <w:tcPr>
            <w:tcW w:w="1905" w:type="dxa"/>
            <w:vAlign w:val="center"/>
          </w:tcPr>
          <w:p w14:paraId="3E9ECD84">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服务技术标准制定</w:t>
            </w:r>
          </w:p>
        </w:tc>
      </w:tr>
      <w:tr w14:paraId="37648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3FFA52D8">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朱文迪</w:t>
            </w:r>
          </w:p>
        </w:tc>
        <w:tc>
          <w:tcPr>
            <w:tcW w:w="1656" w:type="dxa"/>
            <w:vAlign w:val="center"/>
          </w:tcPr>
          <w:p w14:paraId="4EDCDCD9">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北京大学</w:t>
            </w:r>
          </w:p>
        </w:tc>
        <w:tc>
          <w:tcPr>
            <w:tcW w:w="1093" w:type="dxa"/>
            <w:vAlign w:val="center"/>
          </w:tcPr>
          <w:p w14:paraId="1E57F5A0">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无</w:t>
            </w:r>
          </w:p>
        </w:tc>
        <w:tc>
          <w:tcPr>
            <w:tcW w:w="947" w:type="dxa"/>
            <w:vAlign w:val="center"/>
          </w:tcPr>
          <w:p w14:paraId="362B4753">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2280" w:type="dxa"/>
            <w:vAlign w:val="center"/>
          </w:tcPr>
          <w:p w14:paraId="22FBCE77">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无</w:t>
            </w:r>
          </w:p>
        </w:tc>
        <w:tc>
          <w:tcPr>
            <w:tcW w:w="1905" w:type="dxa"/>
            <w:vAlign w:val="center"/>
          </w:tcPr>
          <w:p w14:paraId="47903EF6">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服务技术标准制定</w:t>
            </w:r>
          </w:p>
        </w:tc>
      </w:tr>
      <w:tr w14:paraId="11F78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962" w:type="dxa"/>
            <w:vAlign w:val="center"/>
          </w:tcPr>
          <w:p w14:paraId="51D8329F">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赵云鹤</w:t>
            </w:r>
          </w:p>
        </w:tc>
        <w:tc>
          <w:tcPr>
            <w:tcW w:w="1656" w:type="dxa"/>
            <w:vAlign w:val="center"/>
          </w:tcPr>
          <w:p w14:paraId="402C86E2">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北京大学</w:t>
            </w:r>
          </w:p>
        </w:tc>
        <w:tc>
          <w:tcPr>
            <w:tcW w:w="1093" w:type="dxa"/>
            <w:vAlign w:val="center"/>
          </w:tcPr>
          <w:p w14:paraId="18358403">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无</w:t>
            </w:r>
          </w:p>
        </w:tc>
        <w:tc>
          <w:tcPr>
            <w:tcW w:w="947" w:type="dxa"/>
            <w:vAlign w:val="center"/>
          </w:tcPr>
          <w:p w14:paraId="450E8510">
            <w:pP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无</w:t>
            </w:r>
          </w:p>
        </w:tc>
        <w:tc>
          <w:tcPr>
            <w:tcW w:w="2280" w:type="dxa"/>
            <w:vAlign w:val="center"/>
          </w:tcPr>
          <w:p w14:paraId="51EC8D07">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无</w:t>
            </w:r>
          </w:p>
        </w:tc>
        <w:tc>
          <w:tcPr>
            <w:tcW w:w="1905" w:type="dxa"/>
            <w:vAlign w:val="center"/>
          </w:tcPr>
          <w:p w14:paraId="4105F90C">
            <w:pPr>
              <w:rPr>
                <w:rFonts w:hint="eastAsia" w:ascii="宋体" w:hAnsi="宋体" w:eastAsia="宋体" w:cs="宋体"/>
                <w:sz w:val="20"/>
                <w:szCs w:val="20"/>
                <w:lang w:eastAsia="zh-CN"/>
              </w:rPr>
            </w:pPr>
            <w:r>
              <w:rPr>
                <w:rFonts w:hint="eastAsia" w:ascii="宋体" w:hAnsi="宋体" w:eastAsia="宋体" w:cs="宋体"/>
                <w:sz w:val="20"/>
                <w:szCs w:val="20"/>
                <w:lang w:val="en-US" w:eastAsia="zh-CN"/>
              </w:rPr>
              <w:t>服务技术标准制定</w:t>
            </w:r>
          </w:p>
        </w:tc>
      </w:tr>
    </w:tbl>
    <w:p w14:paraId="52B7608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Times New Roman" w:hAnsi="Times New Roman" w:eastAsia="楷体_GB2312" w:cs="Times New Roman"/>
          <w:b w:val="0"/>
          <w:bCs w:val="0"/>
          <w:color w:val="auto"/>
          <w:sz w:val="32"/>
          <w:szCs w:val="32"/>
          <w:lang w:val="en-US" w:eastAsia="zh-CN"/>
        </w:rPr>
      </w:pPr>
      <w:r>
        <w:rPr>
          <w:rFonts w:hint="eastAsia" w:ascii="Times New Roman" w:hAnsi="Times New Roman" w:eastAsia="楷体_GB2312" w:cs="Times New Roman"/>
          <w:b w:val="0"/>
          <w:bCs w:val="0"/>
          <w:color w:val="auto"/>
          <w:sz w:val="32"/>
          <w:szCs w:val="32"/>
          <w:lang w:val="en-US" w:eastAsia="zh-CN"/>
        </w:rPr>
        <w:t>（三）起草过程</w:t>
      </w:r>
    </w:p>
    <w:p w14:paraId="702996B6">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1.起草工作筹备阶段（2025年1月）</w:t>
      </w:r>
    </w:p>
    <w:p w14:paraId="208D5A67">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在北京大学孙宏玉教授的组织下，成立了标准研制小组，明确了小组成员的分工与职责，为后续标准起草工作奠定了基础。</w:t>
      </w:r>
    </w:p>
    <w:p w14:paraId="127152A8">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2.前期调研与文献回顾（2025年2月—3月）</w:t>
      </w:r>
    </w:p>
    <w:p w14:paraId="0AA21E25">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标准研制小组通过系统检索国内外关于健康、健康状况评价、健康监测的相关文献和资料，系统检索国内外重大慢病防治相关指南、标准、共识及实证研究，梳理“防、筛、管、治、康、护”各环节技术现状与缺口。</w:t>
      </w:r>
    </w:p>
    <w:p w14:paraId="51C86628">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3.专家访谈与质性研究（2025年3月—4月）</w:t>
      </w:r>
    </w:p>
    <w:p w14:paraId="11638DB5">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highlight w:val="none"/>
          <w:shd w:val="clear" w:color="auto" w:fill="FFFFFF"/>
          <w:lang w:val="en-US" w:eastAsia="zh-CN"/>
        </w:rPr>
      </w:pPr>
      <w:r>
        <w:rPr>
          <w:rFonts w:hint="default" w:ascii="仿宋_GB2312" w:hAnsi="仿宋_GB2312" w:eastAsia="仿宋_GB2312" w:cs="仿宋_GB2312"/>
          <w:color w:val="auto"/>
          <w:szCs w:val="32"/>
          <w:highlight w:val="none"/>
          <w:shd w:val="clear" w:color="auto" w:fill="FFFFFF"/>
          <w:lang w:val="en-US" w:eastAsia="zh-CN"/>
        </w:rPr>
        <w:t>在前期理论综述的基础上，组织多轮</w:t>
      </w:r>
      <w:r>
        <w:rPr>
          <w:rFonts w:hint="eastAsia" w:ascii="仿宋_GB2312" w:hAnsi="仿宋_GB2312" w:eastAsia="仿宋_GB2312" w:cs="仿宋_GB2312"/>
          <w:color w:val="auto"/>
          <w:szCs w:val="32"/>
          <w:highlight w:val="none"/>
          <w:shd w:val="clear" w:color="auto" w:fill="FFFFFF"/>
          <w:lang w:val="en-US" w:eastAsia="zh-CN"/>
        </w:rPr>
        <w:t>线上线下</w:t>
      </w:r>
      <w:r>
        <w:rPr>
          <w:rFonts w:hint="default" w:ascii="仿宋_GB2312" w:hAnsi="仿宋_GB2312" w:eastAsia="仿宋_GB2312" w:cs="仿宋_GB2312"/>
          <w:color w:val="auto"/>
          <w:szCs w:val="32"/>
          <w:highlight w:val="none"/>
          <w:shd w:val="clear" w:color="auto" w:fill="FFFFFF"/>
          <w:lang w:val="en-US" w:eastAsia="zh-CN"/>
        </w:rPr>
        <w:t>研讨会，邀请临床、公卫、管理、护理等领域专家，就标准结构、内容划分、技术分级等进行深入讨论。</w:t>
      </w:r>
    </w:p>
    <w:p w14:paraId="76F13EC6">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4.标准文本起草阶段（2025年5月—8月）</w:t>
      </w:r>
    </w:p>
    <w:p w14:paraId="61C9CDBA">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依据 GB/T 1.1—2020《标准化工作导则》，形成标准初稿，对适用范围、术语定义、推广内容、推广原则、推广成效评估等内容进行系统编制。</w:t>
      </w:r>
    </w:p>
    <w:p w14:paraId="088CE57D">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5.实证调研与案例验证（2025年8月—11月）</w:t>
      </w:r>
    </w:p>
    <w:p w14:paraId="3E0A2F9E">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在北京、天津、陕西、四川、新疆、湖南、广西等试点地区开展标准适用性调研，结合实际服务场景对标准内容进行验证与优化。</w:t>
      </w:r>
    </w:p>
    <w:p w14:paraId="0E414D45">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6.草案形成与内部修订（2025年12月）</w:t>
      </w:r>
    </w:p>
    <w:p w14:paraId="05F3F9D2">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依据调研和研讨结果，对标准初稿进行多轮内部修订。</w:t>
      </w:r>
    </w:p>
    <w:p w14:paraId="4A7DB0EA">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7.编制说明撰写阶段（2026年1月）</w:t>
      </w:r>
    </w:p>
    <w:p w14:paraId="68B3C219">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围绕与相关规范性文件和其他标准的关系、国外相关规定和标准情况的对比说明、各项技术内容确定依据等，撰写编制说明。</w:t>
      </w:r>
    </w:p>
    <w:p w14:paraId="3B6CC6C7">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8.提交征求意见阶段（2026年2月）</w:t>
      </w:r>
    </w:p>
    <w:p w14:paraId="696E5930">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highlight w:val="none"/>
          <w:shd w:val="clear" w:color="auto" w:fill="FFFFFF"/>
          <w:lang w:val="en-US" w:eastAsia="zh-CN"/>
        </w:rPr>
      </w:pPr>
      <w:r>
        <w:rPr>
          <w:rFonts w:hint="eastAsia" w:ascii="仿宋_GB2312" w:hAnsi="仿宋_GB2312" w:eastAsia="仿宋_GB2312" w:cs="仿宋_GB2312"/>
          <w:color w:val="auto"/>
          <w:szCs w:val="32"/>
          <w:highlight w:val="none"/>
          <w:shd w:val="clear" w:color="auto" w:fill="FFFFFF"/>
          <w:lang w:val="en-US" w:eastAsia="zh-CN"/>
        </w:rPr>
        <w:t>将标准征求意见稿及相关材料提交中国民族卫生医药协会，发布征求意见函。</w:t>
      </w:r>
    </w:p>
    <w:p w14:paraId="65466ADA">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二、与</w:t>
      </w:r>
      <w:r>
        <w:rPr>
          <w:rFonts w:hint="eastAsia" w:ascii="Times New Roman" w:hAnsi="Times New Roman" w:eastAsia="黑体" w:cs="Times New Roman"/>
          <w:color w:val="auto"/>
          <w:sz w:val="32"/>
          <w:szCs w:val="32"/>
          <w:highlight w:val="none"/>
          <w:lang w:val="en-US" w:eastAsia="zh-CN"/>
        </w:rPr>
        <w:t>相关</w:t>
      </w:r>
      <w:r>
        <w:rPr>
          <w:rFonts w:hint="eastAsia" w:ascii="Times New Roman" w:hAnsi="Times New Roman" w:eastAsia="黑体" w:cs="Times New Roman"/>
          <w:color w:val="auto"/>
          <w:sz w:val="32"/>
          <w:szCs w:val="32"/>
          <w:highlight w:val="none"/>
        </w:rPr>
        <w:t>规范性文件和其他标准的关系</w:t>
      </w:r>
    </w:p>
    <w:p w14:paraId="6DBCF345">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本标准在编制过程中充分参考了以下国内外相关规范与标准：</w:t>
      </w:r>
    </w:p>
    <w:p w14:paraId="5AEA85A8">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国内标准方面，参照《慢病医防融合分级诊疗指南》《高血压健康教育规范》《成人糖尿病患者膳食指导》《慢性阻塞性肺疾病健康管理规范》《安宁疗护人文关怀服务指南》等行业与地方标准，确保内容协调一致。</w:t>
      </w:r>
    </w:p>
    <w:p w14:paraId="375F686E">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政策文件主要依据《“健康中国2030”规划纲要》《中国防治慢性病中长期规划（2017—2025年）》等政策要求，强化标准在慢病防控体系中的支撑作用。</w:t>
      </w:r>
    </w:p>
    <w:p w14:paraId="16B8C396">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国际部分主要借鉴WHO慢性病防控框架、美国心脏协会（AHA）心血管病管理指南、全球慢阻肺倡议（GOLD）等国际指南，提升标准的科学性与前瞻性。</w:t>
      </w:r>
    </w:p>
    <w:p w14:paraId="4CC05533">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rPr>
        <w:t>三、国外相关</w:t>
      </w:r>
      <w:r>
        <w:rPr>
          <w:rFonts w:hint="eastAsia" w:ascii="Times New Roman" w:hAnsi="Times New Roman" w:eastAsia="黑体" w:cs="Times New Roman"/>
          <w:color w:val="auto"/>
          <w:sz w:val="32"/>
          <w:szCs w:val="32"/>
          <w:highlight w:val="none"/>
          <w:lang w:val="en-US" w:eastAsia="zh-CN"/>
        </w:rPr>
        <w:t>规定和标准情况</w:t>
      </w:r>
      <w:r>
        <w:rPr>
          <w:rFonts w:hint="eastAsia" w:ascii="Times New Roman" w:hAnsi="Times New Roman" w:eastAsia="黑体" w:cs="Times New Roman"/>
          <w:color w:val="auto"/>
          <w:sz w:val="32"/>
          <w:szCs w:val="32"/>
          <w:highlight w:val="none"/>
        </w:rPr>
        <w:t>的对比说明</w:t>
      </w:r>
    </w:p>
    <w:p w14:paraId="11CF8DB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660" w:lineRule="exact"/>
        <w:ind w:firstLine="640" w:firstLineChars="200"/>
        <w:jc w:val="both"/>
        <w:textAlignment w:val="auto"/>
        <w:rPr>
          <w:rFonts w:hint="eastAsia" w:ascii="仿宋_GB2312" w:hAnsi="仿宋_GB2312" w:eastAsia="仿宋_GB2312" w:cs="仿宋_GB2312"/>
          <w:color w:val="auto"/>
          <w:kern w:val="2"/>
          <w:sz w:val="32"/>
          <w:szCs w:val="32"/>
          <w:shd w:val="clear" w:color="auto" w:fill="FFFFFF"/>
          <w:lang w:val="en-US" w:eastAsia="zh-CN"/>
        </w:rPr>
      </w:pPr>
      <w:r>
        <w:rPr>
          <w:rFonts w:hint="eastAsia" w:ascii="仿宋_GB2312" w:hAnsi="仿宋_GB2312" w:eastAsia="仿宋_GB2312" w:cs="仿宋_GB2312"/>
          <w:color w:val="auto"/>
          <w:kern w:val="2"/>
          <w:sz w:val="32"/>
          <w:szCs w:val="32"/>
          <w:shd w:val="clear" w:color="auto" w:fill="FFFFFF"/>
          <w:lang w:val="en-US" w:eastAsia="zh-CN"/>
        </w:rPr>
        <w:t>我们也查阅了国外慢病服务技术相关标准、规范或指南，并进行了分析。</w:t>
      </w:r>
    </w:p>
    <w:p w14:paraId="4179B745">
      <w:pPr>
        <w:keepNext w:val="0"/>
        <w:keepLines w:val="0"/>
        <w:pageBreakBefore w:val="0"/>
        <w:numPr>
          <w:ilvl w:val="0"/>
          <w:numId w:val="0"/>
        </w:numPr>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重大慢病“防、筛、管、治、康、护”服务技术标准》项目制定过程中在深入分析了多项国际标准的基础上，试图参考并解决这些标准在实际操作中遇到的问题。本项目在编制过程中参考了多项国际慢病管理标准与指南，如：WHO慢性病防控框架：强调全人群、全生命周期、多部门协作的防控策略；美国AHA/ACC心血管病管理指南：突出风险评估、分层干预与循证治疗；GOLD慢阻肺全球策略：注重肺功能评估、急性加重预防与康复管理；NCCN肿瘤临床实践指南：体现分型分期、多学科协作与个体化治疗。本标准在吸收国际经验的基础上，结合我国卫生服务体系特点，突出“防、筛、管、治、康、护”六位一体的整合服务模式，强化基层能力建设与转诊衔接。</w:t>
      </w:r>
    </w:p>
    <w:p w14:paraId="4371ADE1">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四</w:t>
      </w:r>
      <w:r>
        <w:rPr>
          <w:rFonts w:hint="eastAsia" w:ascii="Times New Roman" w:hAnsi="Times New Roman" w:eastAsia="黑体" w:cs="Times New Roman"/>
          <w:color w:val="auto"/>
          <w:sz w:val="32"/>
          <w:szCs w:val="32"/>
          <w:highlight w:val="none"/>
        </w:rPr>
        <w:t>、各项技术内容的依据</w:t>
      </w:r>
    </w:p>
    <w:p w14:paraId="33A6FC4A">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1"/>
        <w:rPr>
          <w:rFonts w:hint="eastAsia" w:ascii="Times New Roman" w:hAnsi="Times New Roman" w:eastAsia="楷体_GB2312" w:cs="Times New Roman"/>
          <w:b/>
          <w:bCs/>
          <w:color w:val="auto"/>
          <w:sz w:val="32"/>
          <w:szCs w:val="32"/>
          <w:lang w:val="en-US" w:eastAsia="zh-CN"/>
        </w:rPr>
      </w:pPr>
      <w:r>
        <w:rPr>
          <w:rFonts w:hint="eastAsia" w:ascii="Times New Roman" w:hAnsi="Times New Roman" w:eastAsia="楷体_GB2312" w:cs="Times New Roman"/>
          <w:b/>
          <w:bCs/>
          <w:color w:val="auto"/>
          <w:sz w:val="32"/>
          <w:szCs w:val="32"/>
          <w:lang w:val="en-US" w:eastAsia="zh-CN"/>
        </w:rPr>
        <w:t>（一）适用范围</w:t>
      </w:r>
    </w:p>
    <w:p w14:paraId="3C2049DC">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rPr>
      </w:pPr>
      <w:r>
        <w:rPr>
          <w:rFonts w:hint="eastAsia" w:ascii="仿宋_GB2312" w:hAnsi="仿宋_GB2312" w:eastAsia="仿宋_GB2312" w:cs="仿宋_GB2312"/>
          <w:color w:val="auto"/>
          <w:szCs w:val="32"/>
          <w:shd w:val="clear" w:color="auto" w:fill="FFFFFF"/>
        </w:rPr>
        <w:t>本标准适用于各级各类医疗机构，针对冠心病、脑卒中、高血压、糖尿病、肺癌、慢性阻塞性肺疾病等六类重大慢病，开展“防、筛、管、治、康、护”全链条服务。</w:t>
      </w:r>
    </w:p>
    <w:p w14:paraId="297EF3A7">
      <w:pPr>
        <w:keepNext w:val="0"/>
        <w:keepLines w:val="0"/>
        <w:pageBreakBefore w:val="0"/>
        <w:widowControl w:val="0"/>
        <w:kinsoku/>
        <w:wordWrap/>
        <w:overflowPunct/>
        <w:topLinePunct w:val="0"/>
        <w:autoSpaceDE/>
        <w:autoSpaceDN/>
        <w:bidi w:val="0"/>
        <w:adjustRightInd/>
        <w:snapToGrid/>
        <w:spacing w:line="660" w:lineRule="exact"/>
        <w:ind w:firstLine="643" w:firstLineChars="200"/>
        <w:textAlignment w:val="auto"/>
        <w:outlineLvl w:val="1"/>
        <w:rPr>
          <w:rFonts w:hint="default" w:ascii="Times New Roman" w:hAnsi="Times New Roman" w:eastAsia="楷体_GB2312" w:cs="Times New Roman"/>
          <w:b w:val="0"/>
          <w:bCs w:val="0"/>
          <w:color w:val="auto"/>
          <w:sz w:val="32"/>
          <w:szCs w:val="32"/>
          <w:highlight w:val="yellow"/>
          <w:lang w:val="en-US" w:eastAsia="zh-CN"/>
        </w:rPr>
      </w:pPr>
      <w:r>
        <w:rPr>
          <w:rFonts w:hint="eastAsia" w:ascii="Times New Roman" w:hAnsi="Times New Roman" w:eastAsia="楷体_GB2312" w:cs="Times New Roman"/>
          <w:b/>
          <w:bCs/>
          <w:color w:val="auto"/>
          <w:sz w:val="32"/>
          <w:szCs w:val="32"/>
          <w:lang w:val="en-US" w:eastAsia="zh-CN"/>
        </w:rPr>
        <w:t>（</w:t>
      </w:r>
      <w:r>
        <w:rPr>
          <w:rFonts w:hint="eastAsia" w:eastAsia="楷体_GB2312" w:cs="Times New Roman"/>
          <w:b/>
          <w:bCs/>
          <w:color w:val="auto"/>
          <w:sz w:val="32"/>
          <w:szCs w:val="32"/>
          <w:lang w:val="en-US" w:eastAsia="zh-CN"/>
        </w:rPr>
        <w:t>二</w:t>
      </w:r>
      <w:r>
        <w:rPr>
          <w:rFonts w:hint="eastAsia" w:ascii="Times New Roman" w:hAnsi="Times New Roman" w:eastAsia="楷体_GB2312" w:cs="Times New Roman"/>
          <w:b/>
          <w:bCs/>
          <w:color w:val="auto"/>
          <w:sz w:val="32"/>
          <w:szCs w:val="32"/>
          <w:lang w:val="en-US" w:eastAsia="zh-CN"/>
        </w:rPr>
        <w:t>）主要内容及确定依据</w:t>
      </w:r>
    </w:p>
    <w:p w14:paraId="78B5C71F">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本标准依据 GB/T 1.1-2020《标准化工作导则 第1部分：标准化文件的结构和起草规则》进行文本编制。文本由前言、引言、范围、规范性引用文件、术语和定义、服务原则、评估指标</w:t>
      </w:r>
      <w:r>
        <w:rPr>
          <w:rFonts w:hint="eastAsia" w:ascii="仿宋_GB2312" w:hAnsi="仿宋_GB2312" w:eastAsia="仿宋_GB2312" w:cs="仿宋_GB2312"/>
          <w:color w:val="auto"/>
          <w:szCs w:val="32"/>
          <w:shd w:val="clear" w:color="auto" w:fill="FFFFFF"/>
          <w:lang w:val="en-US" w:eastAsia="zh-CN"/>
        </w:rPr>
        <w:tab/>
      </w:r>
      <w:r>
        <w:rPr>
          <w:rFonts w:hint="eastAsia" w:ascii="仿宋_GB2312" w:hAnsi="仿宋_GB2312" w:eastAsia="仿宋_GB2312" w:cs="仿宋_GB2312"/>
          <w:color w:val="auto"/>
          <w:szCs w:val="32"/>
          <w:shd w:val="clear" w:color="auto" w:fill="FFFFFF"/>
          <w:lang w:val="en-US" w:eastAsia="zh-CN"/>
        </w:rPr>
        <w:t>、实施要求、服务衔接流程、质量控制等组成。以下重点说明指标体系总体架构、功能（指标）分类及分级、指标分级描述规范化的确定依据与过程。</w:t>
      </w:r>
    </w:p>
    <w:p w14:paraId="0812812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1 总体架构设计  </w:t>
      </w:r>
    </w:p>
    <w:p w14:paraId="1984DB82">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基于“防、筛、管、治、康、护”六个环节，构建一级技术模块；每类病种下设二级技术节点与三级技术内容，形成层次清晰、便于实施的标准体系。</w:t>
      </w:r>
    </w:p>
    <w:p w14:paraId="4C93714F">
      <w:pPr>
        <w:keepNext w:val="0"/>
        <w:keepLines w:val="0"/>
        <w:pageBreakBefore w:val="0"/>
        <w:numPr>
          <w:ilvl w:val="1"/>
          <w:numId w:val="1"/>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病种选择依据</w:t>
      </w:r>
    </w:p>
    <w:p w14:paraId="71C78C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default" w:ascii="仿宋_GB2312" w:hAnsi="仿宋_GB2312" w:eastAsia="仿宋_GB2312" w:cs="仿宋_GB2312"/>
          <w:color w:val="auto"/>
          <w:szCs w:val="32"/>
          <w:shd w:val="clear" w:color="auto" w:fill="FFFFFF"/>
          <w:lang w:val="en-US" w:eastAsia="zh-CN"/>
        </w:rPr>
        <w:t>选取我国疾病负担重、防控需求迫切的六类慢病，覆盖心脑血管、代谢、呼吸、肿瘤等主要慢病类型。</w:t>
      </w:r>
    </w:p>
    <w:p w14:paraId="7EE3195D">
      <w:pPr>
        <w:keepNext w:val="0"/>
        <w:keepLines w:val="0"/>
        <w:pageBreakBefore w:val="0"/>
        <w:numPr>
          <w:ilvl w:val="0"/>
          <w:numId w:val="0"/>
        </w:numPr>
        <w:kinsoku/>
        <w:wordWrap/>
        <w:overflowPunct/>
        <w:topLinePunct w:val="0"/>
        <w:autoSpaceDE/>
        <w:autoSpaceDN/>
        <w:bidi w:val="0"/>
        <w:adjustRightInd/>
        <w:snapToGrid/>
        <w:spacing w:line="660" w:lineRule="exact"/>
        <w:ind w:left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1.2</w:t>
      </w:r>
      <w:r>
        <w:rPr>
          <w:rFonts w:hint="default" w:ascii="仿宋_GB2312" w:hAnsi="仿宋_GB2312" w:eastAsia="仿宋_GB2312" w:cs="仿宋_GB2312"/>
          <w:color w:val="auto"/>
          <w:szCs w:val="32"/>
          <w:shd w:val="clear" w:color="auto" w:fill="FFFFFF"/>
          <w:lang w:val="en-US" w:eastAsia="zh-CN"/>
        </w:rPr>
        <w:t>技术分级依据</w:t>
      </w:r>
    </w:p>
    <w:p w14:paraId="7925A520">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1.2 服务技术设计  </w:t>
      </w:r>
    </w:p>
    <w:p w14:paraId="11584C4C">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1.2.1 服务技术分级架构  </w:t>
      </w:r>
    </w:p>
    <w:p w14:paraId="24AE40B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参照国家卫生健康委已发布的医院、基层、公共卫生信息化建设标准中“系统-功能域-功能模块-功能元”的四级结构，结合“指标-维度-条目”的表达习惯，本标准将服务技术划分为三级：  </w:t>
      </w:r>
    </w:p>
    <w:p w14:paraId="4FC0A25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一级技术：覆盖服务全流程；</w:t>
      </w:r>
    </w:p>
    <w:p w14:paraId="4DE3934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二级技术：体现各环节核心服务内容；</w:t>
      </w:r>
    </w:p>
    <w:p w14:paraId="5C4A72EF">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三级技术：具体、可操作的技术条目，均基于循证医学证据与专家共识确定。</w:t>
      </w:r>
    </w:p>
    <w:p w14:paraId="25BA9EE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1.3 服务技术设计   </w:t>
      </w:r>
    </w:p>
    <w:p w14:paraId="0E0CD83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服务技术的设计遵循以下原则：</w:t>
      </w:r>
    </w:p>
    <w:p w14:paraId="53C0DFA7">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（1）科学循证 </w:t>
      </w:r>
    </w:p>
    <w:p w14:paraId="1E29383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各类服务技术与干预措施应以国内外权威指南、共识和标准为依据，优先采用证据质量高且适用人群与适应证明确的路径。纳入技术应开展证据分级与推荐强度评估，明确关键结局指标与风险收益边界；三级技术原则上应提供RCT或Meta分析等高等级证据支持，并经必要的本地可行性与安全性验证后推广。</w:t>
      </w:r>
    </w:p>
    <w:p w14:paraId="36C3F66B">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（2）公平可及</w:t>
      </w:r>
    </w:p>
    <w:p w14:paraId="6EDC0E4F">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服务供给应坚持需求导向与弱势优先，重点保障农村地区、低收入人群、老年人等群体的服务获得。基层机构应能规范提供一、二级技术及随访管理，并通过转诊协作保障获得更高层级支持；对特殊困难人群宜采取减免、上门、移动医疗或绿色通道等措施提升可及性与连续性。</w:t>
      </w:r>
    </w:p>
    <w:p w14:paraId="7A0CA6F3">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（3）整合协同</w:t>
      </w:r>
    </w:p>
    <w:p w14:paraId="50F0915F">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应以多学科团队协作为核心，推动“防、筛、管、治、康、护”全链条衔接，明确分工与责任。应统一信息记录与随访流程，减少重复与断点；具备条件时推进电子健康档案和信息系统互联互通，在合法合规前提下支持跨机构连续照护与综合评估。</w:t>
      </w:r>
    </w:p>
    <w:p w14:paraId="783406B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（4）动态优化</w:t>
      </w:r>
    </w:p>
    <w:p w14:paraId="6826A737">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技术清单与服务规范应建立动态更新机制，定期开展证据再评价与实施效果评估，及时吸收新证据。三级技术清单宜每两年更新，并明确新增、保留、退出标准；对证据不足、效果不明或风险升高的技术应及时限制、暂停或退出，并同步开展原因分析与替代方案调整。</w:t>
      </w:r>
    </w:p>
    <w:p w14:paraId="3A2770CC">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2 冠心病服务技术分级建设规范编制  </w:t>
      </w:r>
    </w:p>
    <w:p w14:paraId="5B47392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2.1 描述  </w:t>
      </w:r>
    </w:p>
    <w:p w14:paraId="1DB4DA1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冠心病服务技术分级建设规范旨在构建一套系统化、结构化、可操作性强的技术实施框架，以支撑冠心病“防、筛、管、治、康、护”全链条服务的规范开展。本规范通过将服务技术划分为一级、二级、三级，明确各层级技术的功能定位、内容构成与衔接关系，旨在为各级各类服务机构提供清晰的技术实施路径与质量评价依据，推动冠心病防治服务的标准化、同质化与连续性。 </w:t>
      </w:r>
    </w:p>
    <w:p w14:paraId="4C189DD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2.2 指标分类  </w:t>
      </w:r>
    </w:p>
    <w:p w14:paraId="313814E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2.2.1 一级技术</w:t>
      </w:r>
    </w:p>
    <w:p w14:paraId="0AEA072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依据冠心病全生命周期健康管理的内在逻辑与服务流程，设置6个一级技术模块，包括预防干预、早期筛查、分级管理、规范治疗、功能康复和长期护理。覆盖了从健康人群、高危人群到现患患者及康复期患者的完整服务周期。</w:t>
      </w:r>
    </w:p>
    <w:p w14:paraId="5186D5B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2.2.2 二级技术</w:t>
      </w:r>
    </w:p>
    <w:p w14:paraId="6941E3C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在一级技术模块下，共细化设置20个二级技术节点。二级技术是对一级模块核心服务内容的具体化。包括健康教育、危险因素控制、高危人群识别、标准化筛查工具、影像学筛查技术、基层首诊与建档、风险评估与分层、动态随访与调整、转诊机制、临床路径管理、中西医结合诊疗、多学科协作方案、药物治疗规范、血运重建与介入治疗、心脏康复运动训练、心理支持与情绪管理、生活方式重塑指导、居家康养与自我管理、机构照护与并发症预防、安宁疗护支持。</w:t>
      </w:r>
    </w:p>
    <w:p w14:paraId="1E27EBC2">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2.2.3 三级技术</w:t>
      </w:r>
    </w:p>
    <w:p w14:paraId="642EF2A3">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三级技术是直接指导具体操作和评估的底层技术条目，共34项。它是对二级技术的进一步分解和循证化，是服务提供者可直接执行或参照的技术内容。具体内容见表2。 </w:t>
      </w:r>
    </w:p>
    <w:p w14:paraId="4C45CCF8">
      <w:pPr>
        <w:pStyle w:val="10"/>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w:t>
      </w:r>
      <w:r>
        <w:rPr>
          <w:rFonts w:hint="eastAsia" w:ascii="Times New Roman"/>
          <w:b/>
          <w:bCs/>
          <w:lang w:val="en-US" w:eastAsia="zh-CN"/>
        </w:rPr>
        <w:t>2</w:t>
      </w:r>
      <w:r>
        <w:rPr>
          <w:rFonts w:hint="eastAsia" w:ascii="Times New Roman"/>
          <w:b/>
          <w:bCs/>
        </w:rPr>
        <w:t xml:space="preserve">  </w:t>
      </w:r>
      <w:r>
        <w:rPr>
          <w:rFonts w:hint="eastAsia" w:ascii="Times New Roman"/>
          <w:b/>
          <w:bCs/>
          <w:lang w:val="en-US" w:eastAsia="zh-CN"/>
        </w:rPr>
        <w:t>冠心病“防、筛、管、治、康、护”服务技术标准体系</w:t>
      </w:r>
    </w:p>
    <w:tbl>
      <w:tblPr>
        <w:tblStyle w:val="5"/>
        <w:tblW w:w="502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86"/>
        <w:gridCol w:w="2575"/>
        <w:gridCol w:w="5075"/>
      </w:tblGrid>
      <w:tr w14:paraId="7D459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tcBorders>
              <w:top w:val="single" w:color="000000" w:sz="12" w:space="0"/>
              <w:left w:val="nil"/>
              <w:bottom w:val="single" w:color="000000" w:sz="4" w:space="0"/>
              <w:right w:val="nil"/>
              <w:tl2br w:val="nil"/>
            </w:tcBorders>
            <w:shd w:val="clear" w:color="auto" w:fill="FFFFFF"/>
            <w:vAlign w:val="top"/>
          </w:tcPr>
          <w:p w14:paraId="3E8CA18F">
            <w:pPr>
              <w:keepNext w:val="0"/>
              <w:keepLines w:val="0"/>
              <w:widowControl/>
              <w:suppressLineNumbers w:val="0"/>
              <w:jc w:val="center"/>
              <w:textAlignment w:val="center"/>
              <w:outlineLvl w:val="9"/>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p>
        </w:tc>
        <w:tc>
          <w:tcPr>
            <w:tcW w:w="1379" w:type="pct"/>
            <w:tcBorders>
              <w:top w:val="single" w:color="000000" w:sz="12" w:space="0"/>
              <w:left w:val="nil"/>
              <w:bottom w:val="single" w:color="000000" w:sz="4" w:space="0"/>
              <w:right w:val="nil"/>
            </w:tcBorders>
            <w:shd w:val="clear" w:color="auto" w:fill="FFFFFF"/>
            <w:vAlign w:val="top"/>
          </w:tcPr>
          <w:p w14:paraId="73BB793A">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717" w:type="pct"/>
            <w:tcBorders>
              <w:top w:val="single" w:color="000000" w:sz="12" w:space="0"/>
              <w:left w:val="nil"/>
              <w:bottom w:val="single" w:color="000000" w:sz="4" w:space="0"/>
              <w:right w:val="nil"/>
            </w:tcBorders>
            <w:shd w:val="clear" w:color="auto" w:fill="FFFFFF"/>
            <w:vAlign w:val="top"/>
          </w:tcPr>
          <w:p w14:paraId="2F4DDB34">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0AE87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single" w:color="000000" w:sz="4" w:space="0"/>
              <w:left w:val="nil"/>
              <w:right w:val="nil"/>
            </w:tcBorders>
            <w:shd w:val="clear" w:color="auto" w:fill="FFFFFF"/>
            <w:vAlign w:val="top"/>
          </w:tcPr>
          <w:p w14:paraId="380D90F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 预防干预</w:t>
            </w:r>
          </w:p>
        </w:tc>
        <w:tc>
          <w:tcPr>
            <w:tcW w:w="1379" w:type="pct"/>
            <w:vMerge w:val="restart"/>
            <w:tcBorders>
              <w:top w:val="single" w:color="000000" w:sz="4" w:space="0"/>
              <w:left w:val="nil"/>
              <w:bottom w:val="nil"/>
              <w:right w:val="nil"/>
            </w:tcBorders>
            <w:shd w:val="clear" w:color="auto" w:fill="FFFFFF"/>
            <w:vAlign w:val="top"/>
          </w:tcPr>
          <w:p w14:paraId="6151B81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 健康教育</w:t>
            </w:r>
          </w:p>
        </w:tc>
        <w:tc>
          <w:tcPr>
            <w:tcW w:w="2717" w:type="pct"/>
            <w:tcBorders>
              <w:top w:val="single" w:color="000000" w:sz="4" w:space="0"/>
              <w:left w:val="nil"/>
              <w:bottom w:val="nil"/>
              <w:right w:val="nil"/>
            </w:tcBorders>
            <w:shd w:val="clear" w:color="auto" w:fill="FFFFFF"/>
            <w:vAlign w:val="top"/>
          </w:tcPr>
          <w:p w14:paraId="5CD7A2D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1.1.1 核心知识普及</w:t>
            </w:r>
            <w:r>
              <w:rPr>
                <w:rStyle w:val="11"/>
                <w:rFonts w:hint="default" w:ascii="Times New Roman" w:hAnsi="Times New Roman" w:eastAsia="宋体" w:cs="Times New Roman"/>
                <w:b w:val="0"/>
                <w:color w:val="000000"/>
                <w:sz w:val="21"/>
                <w:szCs w:val="21"/>
                <w:lang w:val="en-US" w:eastAsia="zh-CN" w:bidi="ar"/>
              </w:rPr>
              <w:t>：向全人群及高危人群传播冠心病病因、危险因素、典型症状及应急处理知识。</w:t>
            </w:r>
          </w:p>
        </w:tc>
      </w:tr>
      <w:tr w14:paraId="1C87C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311B8D6">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5DD73FD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D4B529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1.1.2 健康生活倡导</w:t>
            </w:r>
            <w:r>
              <w:rPr>
                <w:rStyle w:val="11"/>
                <w:rFonts w:hint="default" w:ascii="Times New Roman" w:hAnsi="Times New Roman" w:eastAsia="宋体" w:cs="Times New Roman"/>
                <w:b w:val="0"/>
                <w:color w:val="000000"/>
                <w:sz w:val="21"/>
                <w:szCs w:val="21"/>
                <w:lang w:val="en-US" w:eastAsia="zh-CN" w:bidi="ar"/>
              </w:rPr>
              <w:t>：通过多种媒介倡导维持健康体重、积极心态、规律运动与均衡膳食。</w:t>
            </w:r>
          </w:p>
        </w:tc>
      </w:tr>
      <w:tr w14:paraId="6A4A3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D496583">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586AD9B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 危险因素控制</w:t>
            </w:r>
          </w:p>
        </w:tc>
        <w:tc>
          <w:tcPr>
            <w:tcW w:w="2717" w:type="pct"/>
            <w:tcBorders>
              <w:top w:val="nil"/>
              <w:left w:val="nil"/>
              <w:bottom w:val="nil"/>
              <w:right w:val="nil"/>
            </w:tcBorders>
            <w:shd w:val="clear" w:color="auto" w:fill="FFFFFF"/>
            <w:vAlign w:val="top"/>
          </w:tcPr>
          <w:p w14:paraId="594BE35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1.2.1 零级预防（全人群）</w:t>
            </w:r>
            <w:r>
              <w:rPr>
                <w:rStyle w:val="11"/>
                <w:rFonts w:hint="default" w:ascii="Times New Roman" w:hAnsi="Times New Roman" w:eastAsia="宋体" w:cs="Times New Roman"/>
                <w:b w:val="0"/>
                <w:color w:val="000000"/>
                <w:sz w:val="21"/>
                <w:szCs w:val="21"/>
                <w:lang w:val="en-US" w:eastAsia="zh-CN" w:bidi="ar"/>
              </w:rPr>
              <w:t>：促进全民心血管健康，在疾病风险出现前构建健康基础</w:t>
            </w:r>
            <w:r>
              <w:rPr>
                <w:rStyle w:val="11"/>
                <w:rFonts w:hint="default" w:ascii="Times New Roman" w:hAnsi="Times New Roman" w:cs="Times New Roman"/>
                <w:b w:val="0"/>
                <w:color w:val="000000"/>
                <w:sz w:val="21"/>
                <w:szCs w:val="21"/>
                <w:lang w:val="en-US" w:eastAsia="zh-CN" w:bidi="ar"/>
              </w:rPr>
              <w:t>，主要包括：</w:t>
            </w:r>
            <w:r>
              <w:rPr>
                <w:rFonts w:hint="default" w:ascii="Times New Roman" w:hAnsi="Times New Roman" w:eastAsia="宋体" w:cs="Times New Roman"/>
                <w:sz w:val="24"/>
                <w:szCs w:val="24"/>
                <w:lang w:val="en-US" w:eastAsia="zh-CN"/>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a) 早期识别风险，如收集早发心血管病家族史信息。</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b) 倡导并维持健康体重。</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c) 培养积极的心理状态与良好的行为习惯。</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d) 减少有害环境暴露（如空气污染）。</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e) 全面禁止吸烟并避免被动吸烟。</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f) 坚持规律的科学运动与均衡的健康膳食模式。</w:t>
            </w:r>
          </w:p>
        </w:tc>
      </w:tr>
      <w:tr w14:paraId="6E5E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13EA789">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F86A098">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AEC692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1.2.2 一级预防（高危人群）</w:t>
            </w:r>
            <w:r>
              <w:rPr>
                <w:rStyle w:val="11"/>
                <w:rFonts w:hint="default" w:ascii="Times New Roman" w:hAnsi="Times New Roman" w:eastAsia="宋体" w:cs="Times New Roman"/>
                <w:b w:val="0"/>
                <w:color w:val="000000"/>
                <w:sz w:val="21"/>
                <w:szCs w:val="21"/>
                <w:lang w:val="en-US" w:eastAsia="zh-CN" w:bidi="ar"/>
              </w:rPr>
              <w:t>：对具有危险因素但未发病的个体，实施系统性的生活方式干预，包括合理饮食、规律运动、彻底戒烟及限制饮酒。</w:t>
            </w:r>
          </w:p>
        </w:tc>
      </w:tr>
      <w:tr w14:paraId="7683D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37D3B817">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B8597D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584355E9">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1.2.3 二级预防（已病患者）</w:t>
            </w:r>
            <w:r>
              <w:rPr>
                <w:rStyle w:val="11"/>
                <w:rFonts w:hint="default" w:ascii="Times New Roman" w:hAnsi="Times New Roman" w:eastAsia="宋体" w:cs="Times New Roman"/>
                <w:b w:val="0"/>
                <w:color w:val="000000"/>
                <w:sz w:val="21"/>
                <w:szCs w:val="21"/>
                <w:lang w:val="en-US" w:eastAsia="zh-CN" w:bidi="ar"/>
              </w:rPr>
              <w:t>：遵循ABCDE原则对患者进行强化干预。</w:t>
            </w:r>
          </w:p>
          <w:p w14:paraId="63B38249">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Style w:val="11"/>
                <w:rFonts w:hint="default" w:ascii="Times New Roman" w:hAnsi="Times New Roman" w:eastAsia="宋体" w:cs="Times New Roman"/>
                <w:b w:val="0"/>
                <w:color w:val="000000"/>
                <w:sz w:val="21"/>
                <w:szCs w:val="21"/>
                <w:lang w:val="en-US" w:eastAsia="zh-CN" w:bidi="ar"/>
              </w:rPr>
              <w:t>A：遵医嘱应用阿司匹林进行抗血小板治疗，并使用血管紧张素转换酶抑制剂等药物。</w:t>
            </w:r>
          </w:p>
          <w:p w14:paraId="33B448CC">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Style w:val="11"/>
                <w:rFonts w:hint="default" w:ascii="Times New Roman" w:hAnsi="Times New Roman" w:eastAsia="宋体" w:cs="Times New Roman"/>
                <w:b w:val="0"/>
                <w:color w:val="000000"/>
                <w:sz w:val="21"/>
                <w:szCs w:val="21"/>
                <w:lang w:val="en-US" w:eastAsia="zh-CN" w:bidi="ar"/>
              </w:rPr>
              <w:t>B：应用β受体阻滞剂，并将血压控制在130/80 mmHg以下。</w:t>
            </w:r>
          </w:p>
          <w:p w14:paraId="68A72912">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Style w:val="11"/>
                <w:rFonts w:hint="default" w:ascii="Times New Roman" w:hAnsi="Times New Roman" w:eastAsia="宋体" w:cs="Times New Roman"/>
                <w:b w:val="0"/>
                <w:color w:val="000000"/>
                <w:sz w:val="21"/>
                <w:szCs w:val="21"/>
                <w:lang w:val="en-US" w:eastAsia="zh-CN" w:bidi="ar"/>
              </w:rPr>
              <w:t>C：必须彻底戒烟，并将低密度脂蛋白胆固醇控制在1.8 mmol/L以下。</w:t>
            </w:r>
          </w:p>
          <w:p w14:paraId="3EA2C86C">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Style w:val="11"/>
                <w:rFonts w:hint="default" w:ascii="Times New Roman" w:hAnsi="Times New Roman" w:eastAsia="宋体" w:cs="Times New Roman"/>
                <w:b w:val="0"/>
                <w:color w:val="000000"/>
                <w:sz w:val="21"/>
                <w:szCs w:val="21"/>
                <w:lang w:val="en-US" w:eastAsia="zh-CN" w:bidi="ar"/>
              </w:rPr>
              <w:t>D：严格控制血糖，并坚持均衡饮食，减少高热量、高脂肪食物的摄入。</w:t>
            </w:r>
          </w:p>
          <w:p w14:paraId="5805E393">
            <w:pPr>
              <w:keepNext w:val="0"/>
              <w:keepLines w:val="0"/>
              <w:widowControl/>
              <w:suppressLineNumbers w:val="0"/>
              <w:jc w:val="both"/>
              <w:textAlignment w:val="center"/>
              <w:outlineLvl w:val="9"/>
              <w:rPr>
                <w:rStyle w:val="11"/>
                <w:rFonts w:hint="default" w:ascii="Times New Roman" w:hAnsi="Times New Roman" w:eastAsia="宋体" w:cs="Times New Roman"/>
                <w:b w:val="0"/>
                <w:color w:val="000000"/>
                <w:sz w:val="21"/>
                <w:szCs w:val="21"/>
                <w:lang w:val="en-US" w:eastAsia="zh-CN" w:bidi="ar"/>
              </w:rPr>
            </w:pPr>
            <w:r>
              <w:rPr>
                <w:rStyle w:val="11"/>
                <w:rFonts w:hint="default" w:ascii="Times New Roman" w:hAnsi="Times New Roman" w:eastAsia="宋体" w:cs="Times New Roman"/>
                <w:b w:val="0"/>
                <w:color w:val="000000"/>
                <w:sz w:val="21"/>
                <w:szCs w:val="21"/>
                <w:lang w:val="en-US" w:eastAsia="zh-CN" w:bidi="ar"/>
              </w:rPr>
              <w:t>E：在专业指导下进行循序渐进的运动，并通过教育使患者掌握冠心病基本知识及药物应用常识。</w:t>
            </w:r>
          </w:p>
        </w:tc>
      </w:tr>
      <w:tr w14:paraId="12594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14476E7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 早期筛查</w:t>
            </w:r>
          </w:p>
        </w:tc>
        <w:tc>
          <w:tcPr>
            <w:tcW w:w="1379" w:type="pct"/>
            <w:tcBorders>
              <w:top w:val="nil"/>
              <w:left w:val="nil"/>
              <w:bottom w:val="nil"/>
              <w:right w:val="nil"/>
            </w:tcBorders>
            <w:shd w:val="clear" w:color="auto" w:fill="FFFFFF"/>
            <w:vAlign w:val="top"/>
          </w:tcPr>
          <w:p w14:paraId="42FBE2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 高危人群识别</w:t>
            </w:r>
          </w:p>
        </w:tc>
        <w:tc>
          <w:tcPr>
            <w:tcW w:w="2717" w:type="pct"/>
            <w:tcBorders>
              <w:top w:val="nil"/>
              <w:left w:val="nil"/>
              <w:bottom w:val="nil"/>
              <w:right w:val="nil"/>
            </w:tcBorders>
            <w:shd w:val="clear" w:color="auto" w:fill="FFFFFF"/>
            <w:vAlign w:val="top"/>
          </w:tcPr>
          <w:p w14:paraId="43C14C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2.1.1 风险信息收集</w:t>
            </w:r>
            <w:r>
              <w:rPr>
                <w:rStyle w:val="11"/>
                <w:rFonts w:hint="default" w:ascii="Times New Roman" w:hAnsi="Times New Roman" w:eastAsia="宋体" w:cs="Times New Roman"/>
                <w:b w:val="0"/>
                <w:color w:val="000000"/>
                <w:sz w:val="21"/>
                <w:szCs w:val="21"/>
                <w:lang w:val="en-US" w:eastAsia="zh-CN" w:bidi="ar"/>
              </w:rPr>
              <w:t>：通过问卷系统收集个人史、家族史及既往疾病史。</w:t>
            </w:r>
          </w:p>
        </w:tc>
      </w:tr>
      <w:tr w14:paraId="4858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05B205D">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1DF037C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 标准化筛查工具</w:t>
            </w:r>
          </w:p>
        </w:tc>
        <w:tc>
          <w:tcPr>
            <w:tcW w:w="2717" w:type="pct"/>
            <w:tcBorders>
              <w:top w:val="nil"/>
              <w:left w:val="nil"/>
              <w:bottom w:val="nil"/>
              <w:right w:val="nil"/>
            </w:tcBorders>
            <w:shd w:val="clear" w:color="auto" w:fill="FFFFFF"/>
            <w:vAlign w:val="top"/>
          </w:tcPr>
          <w:p w14:paraId="24C0CB0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2.2.1 风险初筛问卷</w:t>
            </w:r>
            <w:r>
              <w:rPr>
                <w:rStyle w:val="11"/>
                <w:rFonts w:hint="default" w:ascii="Times New Roman" w:hAnsi="Times New Roman" w:eastAsia="宋体" w:cs="Times New Roman"/>
                <w:b w:val="0"/>
                <w:color w:val="000000"/>
                <w:sz w:val="21"/>
                <w:szCs w:val="21"/>
                <w:lang w:val="en-US" w:eastAsia="zh-CN" w:bidi="ar"/>
              </w:rPr>
              <w:t>：使用标准化综合自测问卷进行初步风险分层。</w:t>
            </w:r>
          </w:p>
        </w:tc>
      </w:tr>
      <w:tr w14:paraId="4037A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4DB3B0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25D1802">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0268DD2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2.2.2 量化风险评估</w:t>
            </w:r>
            <w:r>
              <w:rPr>
                <w:rStyle w:val="11"/>
                <w:rFonts w:hint="default" w:ascii="Times New Roman" w:hAnsi="Times New Roman" w:eastAsia="宋体" w:cs="Times New Roman"/>
                <w:b w:val="0"/>
                <w:color w:val="000000"/>
                <w:sz w:val="21"/>
                <w:szCs w:val="21"/>
                <w:lang w:val="en-US" w:eastAsia="zh-CN" w:bidi="ar"/>
              </w:rPr>
              <w:t>：应用验证过的风险评估模型（如PREVENT）进行10年风险量化评估。</w:t>
            </w:r>
          </w:p>
        </w:tc>
      </w:tr>
      <w:tr w14:paraId="4758B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26C825A">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45C0C20">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0B1E22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2.2.3 核心指标筛查</w:t>
            </w:r>
            <w:r>
              <w:rPr>
                <w:rStyle w:val="11"/>
                <w:rFonts w:hint="default" w:ascii="Times New Roman" w:hAnsi="Times New Roman" w:eastAsia="宋体" w:cs="Times New Roman"/>
                <w:b w:val="0"/>
                <w:color w:val="000000"/>
                <w:sz w:val="21"/>
                <w:szCs w:val="21"/>
                <w:lang w:val="en-US" w:eastAsia="zh-CN" w:bidi="ar"/>
              </w:rPr>
              <w:t>：a) 定期血压测量；b) 规律血脂检测；c) 常规血糖检测。</w:t>
            </w:r>
          </w:p>
        </w:tc>
      </w:tr>
      <w:tr w14:paraId="712C0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1958BE0A">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0C3F326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 影像学筛查技术</w:t>
            </w:r>
          </w:p>
        </w:tc>
        <w:tc>
          <w:tcPr>
            <w:tcW w:w="2717" w:type="pct"/>
            <w:tcBorders>
              <w:top w:val="nil"/>
              <w:left w:val="nil"/>
              <w:bottom w:val="nil"/>
              <w:right w:val="nil"/>
            </w:tcBorders>
            <w:shd w:val="clear" w:color="auto" w:fill="FFFFFF"/>
            <w:vAlign w:val="top"/>
          </w:tcPr>
          <w:p w14:paraId="07FC5E7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2.3.1 颈动脉超声</w:t>
            </w:r>
            <w:r>
              <w:rPr>
                <w:rStyle w:val="11"/>
                <w:rFonts w:hint="default" w:ascii="Times New Roman" w:hAnsi="Times New Roman" w:eastAsia="宋体" w:cs="Times New Roman"/>
                <w:b w:val="0"/>
                <w:color w:val="000000"/>
                <w:sz w:val="21"/>
                <w:szCs w:val="21"/>
                <w:lang w:val="en-US" w:eastAsia="zh-CN" w:bidi="ar"/>
              </w:rPr>
              <w:t>：评估颈动脉内膜中层厚度（IMT）及斑块情况。</w:t>
            </w:r>
          </w:p>
        </w:tc>
      </w:tr>
      <w:tr w14:paraId="4460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6C22F93">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2C4564FF">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4CDADC8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2.3.2 心脏超声</w:t>
            </w:r>
            <w:r>
              <w:rPr>
                <w:rStyle w:val="11"/>
                <w:rFonts w:hint="default" w:ascii="Times New Roman" w:hAnsi="Times New Roman" w:eastAsia="宋体" w:cs="Times New Roman"/>
                <w:b w:val="0"/>
                <w:color w:val="000000"/>
                <w:sz w:val="21"/>
                <w:szCs w:val="21"/>
                <w:lang w:val="en-US" w:eastAsia="zh-CN" w:bidi="ar"/>
              </w:rPr>
              <w:t>：评估心脏结构与功能，特别是心室功能。</w:t>
            </w:r>
          </w:p>
        </w:tc>
      </w:tr>
      <w:tr w14:paraId="574D7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39DA5B2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7A809C3">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5A768DD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2.3.3 心电图检查</w:t>
            </w:r>
            <w:r>
              <w:rPr>
                <w:rStyle w:val="11"/>
                <w:rFonts w:hint="default" w:ascii="Times New Roman" w:hAnsi="Times New Roman" w:eastAsia="宋体" w:cs="Times New Roman"/>
                <w:b w:val="0"/>
                <w:color w:val="000000"/>
                <w:sz w:val="21"/>
                <w:szCs w:val="21"/>
                <w:lang w:val="en-US" w:eastAsia="zh-CN" w:bidi="ar"/>
              </w:rPr>
              <w:t>：用于静息状态筛查及有症状时的及时检查。</w:t>
            </w:r>
          </w:p>
        </w:tc>
      </w:tr>
      <w:tr w14:paraId="0C60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496F1AB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 分级管理</w:t>
            </w:r>
          </w:p>
        </w:tc>
        <w:tc>
          <w:tcPr>
            <w:tcW w:w="1379" w:type="pct"/>
            <w:vMerge w:val="restart"/>
            <w:tcBorders>
              <w:top w:val="nil"/>
              <w:left w:val="nil"/>
              <w:bottom w:val="nil"/>
              <w:right w:val="nil"/>
            </w:tcBorders>
            <w:shd w:val="clear" w:color="auto" w:fill="FFFFFF"/>
            <w:vAlign w:val="top"/>
          </w:tcPr>
          <w:p w14:paraId="121D996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 基层首诊与建档</w:t>
            </w:r>
          </w:p>
        </w:tc>
        <w:tc>
          <w:tcPr>
            <w:tcW w:w="2717" w:type="pct"/>
            <w:tcBorders>
              <w:top w:val="nil"/>
              <w:left w:val="nil"/>
              <w:bottom w:val="nil"/>
              <w:right w:val="nil"/>
            </w:tcBorders>
            <w:shd w:val="clear" w:color="auto" w:fill="FFFFFF"/>
            <w:vAlign w:val="top"/>
          </w:tcPr>
          <w:p w14:paraId="0BA6055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3.1.1 居民健康档案</w:t>
            </w:r>
            <w:r>
              <w:rPr>
                <w:rStyle w:val="11"/>
                <w:rFonts w:hint="default" w:ascii="Times New Roman" w:hAnsi="Times New Roman" w:eastAsia="宋体" w:cs="Times New Roman"/>
                <w:b w:val="0"/>
                <w:color w:val="000000"/>
                <w:sz w:val="21"/>
                <w:szCs w:val="21"/>
                <w:lang w:val="en-US" w:eastAsia="zh-CN" w:bidi="ar"/>
              </w:rPr>
              <w:t>：建立统一、连续的健康档案。</w:t>
            </w:r>
          </w:p>
        </w:tc>
      </w:tr>
      <w:tr w14:paraId="262B5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E98BF27">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A192CC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653F3E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3.1.2 高危人群建档</w:t>
            </w:r>
            <w:r>
              <w:rPr>
                <w:rStyle w:val="11"/>
                <w:rFonts w:hint="default" w:ascii="Times New Roman" w:hAnsi="Times New Roman" w:eastAsia="宋体" w:cs="Times New Roman"/>
                <w:b w:val="0"/>
                <w:color w:val="000000"/>
                <w:sz w:val="21"/>
                <w:szCs w:val="21"/>
                <w:lang w:val="en-US" w:eastAsia="zh-CN" w:bidi="ar"/>
              </w:rPr>
              <w:t>：对筛查出的高危人群建立专项管理档案。</w:t>
            </w:r>
          </w:p>
        </w:tc>
      </w:tr>
      <w:tr w14:paraId="7D981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0D8DF79">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3774795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 风险评估与分层</w:t>
            </w:r>
          </w:p>
        </w:tc>
        <w:tc>
          <w:tcPr>
            <w:tcW w:w="2717" w:type="pct"/>
            <w:tcBorders>
              <w:top w:val="nil"/>
              <w:left w:val="nil"/>
              <w:bottom w:val="nil"/>
              <w:right w:val="nil"/>
            </w:tcBorders>
            <w:shd w:val="clear" w:color="auto" w:fill="FFFFFF"/>
            <w:vAlign w:val="top"/>
          </w:tcPr>
          <w:p w14:paraId="704F3C1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3.2.1 风险等级判定</w:t>
            </w:r>
            <w:r>
              <w:rPr>
                <w:rStyle w:val="11"/>
                <w:rFonts w:hint="default" w:ascii="Times New Roman" w:hAnsi="Times New Roman" w:eastAsia="宋体" w:cs="Times New Roman"/>
                <w:b w:val="0"/>
                <w:color w:val="000000"/>
                <w:sz w:val="21"/>
                <w:szCs w:val="21"/>
                <w:lang w:val="en-US" w:eastAsia="zh-CN" w:bidi="ar"/>
              </w:rPr>
              <w:t>：基于筛查和评估模型，将管理对象分为低危、中危、高危。</w:t>
            </w:r>
          </w:p>
        </w:tc>
      </w:tr>
      <w:tr w14:paraId="0CBAC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48B7364B">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0F75B0E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 动态随访与调整</w:t>
            </w:r>
          </w:p>
        </w:tc>
        <w:tc>
          <w:tcPr>
            <w:tcW w:w="2717" w:type="pct"/>
            <w:tcBorders>
              <w:top w:val="nil"/>
              <w:left w:val="nil"/>
              <w:bottom w:val="nil"/>
              <w:right w:val="nil"/>
            </w:tcBorders>
            <w:shd w:val="clear" w:color="auto" w:fill="FFFFFF"/>
            <w:vAlign w:val="top"/>
          </w:tcPr>
          <w:p w14:paraId="4EAEEC9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3.3.1 定期评估</w:t>
            </w:r>
            <w:r>
              <w:rPr>
                <w:rStyle w:val="11"/>
                <w:rFonts w:hint="default" w:ascii="Times New Roman" w:hAnsi="Times New Roman" w:eastAsia="宋体" w:cs="Times New Roman"/>
                <w:b w:val="0"/>
                <w:color w:val="000000"/>
                <w:sz w:val="21"/>
                <w:szCs w:val="21"/>
                <w:lang w:val="en-US" w:eastAsia="zh-CN" w:bidi="ar"/>
              </w:rPr>
              <w:t>：定期随访血压、血脂、血糖、生活方式及用药情况。</w:t>
            </w:r>
          </w:p>
        </w:tc>
      </w:tr>
      <w:tr w14:paraId="0982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276902D">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3DC714CA">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489B76A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3.3.2 方案调整</w:t>
            </w:r>
            <w:r>
              <w:rPr>
                <w:rStyle w:val="11"/>
                <w:rFonts w:hint="default" w:ascii="Times New Roman" w:hAnsi="Times New Roman" w:eastAsia="宋体" w:cs="Times New Roman"/>
                <w:b w:val="0"/>
                <w:color w:val="000000"/>
                <w:sz w:val="21"/>
                <w:szCs w:val="21"/>
                <w:lang w:val="en-US" w:eastAsia="zh-CN" w:bidi="ar"/>
              </w:rPr>
              <w:t>：根据评估结果动态调整干预建议和治疗方案。</w:t>
            </w:r>
          </w:p>
        </w:tc>
      </w:tr>
      <w:tr w14:paraId="08065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3C292E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6BB8651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3.4 </w:t>
            </w:r>
            <w:r>
              <w:rPr>
                <w:rStyle w:val="12"/>
                <w:rFonts w:hint="default" w:ascii="Times New Roman" w:hAnsi="Times New Roman" w:eastAsia="宋体" w:cs="Times New Roman"/>
                <w:b w:val="0"/>
                <w:color w:val="000000"/>
                <w:sz w:val="21"/>
                <w:szCs w:val="21"/>
                <w:lang w:val="en-US" w:eastAsia="zh-CN" w:bidi="ar"/>
              </w:rPr>
              <w:t>转诊机制</w:t>
            </w:r>
          </w:p>
        </w:tc>
        <w:tc>
          <w:tcPr>
            <w:tcW w:w="2717" w:type="pct"/>
            <w:tcBorders>
              <w:top w:val="nil"/>
              <w:left w:val="nil"/>
              <w:bottom w:val="nil"/>
              <w:right w:val="nil"/>
            </w:tcBorders>
            <w:shd w:val="clear" w:color="auto" w:fill="FFFFFF"/>
            <w:vAlign w:val="top"/>
          </w:tcPr>
          <w:p w14:paraId="7C7C450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3.4.1 上转指征</w:t>
            </w:r>
            <w:r>
              <w:rPr>
                <w:rStyle w:val="11"/>
                <w:rFonts w:hint="default" w:ascii="Times New Roman" w:hAnsi="Times New Roman" w:eastAsia="宋体" w:cs="Times New Roman"/>
                <w:b w:val="0"/>
                <w:color w:val="000000"/>
                <w:sz w:val="21"/>
                <w:szCs w:val="21"/>
                <w:lang w:val="en-US" w:eastAsia="zh-CN" w:bidi="ar"/>
              </w:rPr>
              <w:t>：首次心绞痛、病情加重、心电图动态改变、疑似ACS、管理指标不达标、需进一步检查或中医治疗。</w:t>
            </w:r>
          </w:p>
        </w:tc>
      </w:tr>
      <w:tr w14:paraId="24988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57D42470">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E90F0A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DF4BE1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3.4.2 下转指征</w:t>
            </w:r>
            <w:r>
              <w:rPr>
                <w:rStyle w:val="11"/>
                <w:rFonts w:hint="default" w:ascii="Times New Roman" w:hAnsi="Times New Roman" w:eastAsia="宋体" w:cs="Times New Roman"/>
                <w:b w:val="0"/>
                <w:color w:val="000000"/>
                <w:sz w:val="21"/>
                <w:szCs w:val="21"/>
                <w:lang w:val="en-US" w:eastAsia="zh-CN" w:bidi="ar"/>
              </w:rPr>
              <w:t>：诊断方案明确、病情稳定、血运重建后康复期、症状控制平稳、中医方案确定。</w:t>
            </w:r>
          </w:p>
        </w:tc>
      </w:tr>
      <w:tr w14:paraId="73A1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6B52E64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 规范治疗</w:t>
            </w:r>
          </w:p>
        </w:tc>
        <w:tc>
          <w:tcPr>
            <w:tcW w:w="1379" w:type="pct"/>
            <w:vMerge w:val="restart"/>
            <w:tcBorders>
              <w:top w:val="nil"/>
              <w:left w:val="nil"/>
              <w:bottom w:val="nil"/>
              <w:right w:val="nil"/>
            </w:tcBorders>
            <w:shd w:val="clear" w:color="auto" w:fill="FFFFFF"/>
            <w:vAlign w:val="top"/>
          </w:tcPr>
          <w:p w14:paraId="1C99960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 临床路径管理</w:t>
            </w:r>
          </w:p>
        </w:tc>
        <w:tc>
          <w:tcPr>
            <w:tcW w:w="2717" w:type="pct"/>
            <w:tcBorders>
              <w:top w:val="nil"/>
              <w:left w:val="nil"/>
              <w:bottom w:val="nil"/>
              <w:right w:val="nil"/>
            </w:tcBorders>
            <w:shd w:val="clear" w:color="auto" w:fill="FFFFFF"/>
            <w:vAlign w:val="top"/>
          </w:tcPr>
          <w:p w14:paraId="56405BE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4.1.1 稳定性冠心病治疗路径</w:t>
            </w:r>
            <w:r>
              <w:rPr>
                <w:rStyle w:val="11"/>
                <w:rFonts w:hint="default" w:ascii="Times New Roman" w:hAnsi="Times New Roman" w:eastAsia="宋体" w:cs="Times New Roman"/>
                <w:b w:val="0"/>
                <w:color w:val="000000"/>
                <w:sz w:val="21"/>
                <w:szCs w:val="21"/>
                <w:lang w:val="en-US" w:eastAsia="zh-CN" w:bidi="ar"/>
              </w:rPr>
              <w:t>：明确药物治疗及血运重建的适应症与流程。</w:t>
            </w:r>
          </w:p>
        </w:tc>
      </w:tr>
      <w:tr w14:paraId="7258C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4580CF0">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4D649DA3">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1832A62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4.1.2 急性冠脉综合征救治路径</w:t>
            </w:r>
            <w:r>
              <w:rPr>
                <w:rStyle w:val="11"/>
                <w:rFonts w:hint="default" w:ascii="Times New Roman" w:hAnsi="Times New Roman" w:eastAsia="宋体" w:cs="Times New Roman"/>
                <w:b w:val="0"/>
                <w:color w:val="000000"/>
                <w:sz w:val="21"/>
                <w:szCs w:val="21"/>
                <w:lang w:val="en-US" w:eastAsia="zh-CN" w:bidi="ar"/>
              </w:rPr>
              <w:t>：明确STEMI再灌注治疗及NSTE-ACS危险分层与侵入性策略的时限流程。</w:t>
            </w:r>
          </w:p>
        </w:tc>
      </w:tr>
      <w:tr w14:paraId="63C2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0B732A4">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7EA40E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4.2 中西医结合诊疗</w:t>
            </w:r>
          </w:p>
        </w:tc>
        <w:tc>
          <w:tcPr>
            <w:tcW w:w="2717" w:type="pct"/>
            <w:tcBorders>
              <w:top w:val="nil"/>
              <w:left w:val="nil"/>
              <w:bottom w:val="nil"/>
              <w:right w:val="nil"/>
            </w:tcBorders>
            <w:shd w:val="clear" w:color="auto" w:fill="FFFFFF"/>
            <w:vAlign w:val="top"/>
          </w:tcPr>
          <w:p w14:paraId="0F78961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4.2.1 中医辨证治疗</w:t>
            </w:r>
            <w:r>
              <w:rPr>
                <w:rStyle w:val="11"/>
                <w:rFonts w:hint="default" w:ascii="Times New Roman" w:hAnsi="Times New Roman" w:eastAsia="宋体" w:cs="Times New Roman"/>
                <w:b w:val="0"/>
                <w:color w:val="000000"/>
                <w:sz w:val="21"/>
                <w:szCs w:val="21"/>
                <w:lang w:val="en-US" w:eastAsia="zh-CN" w:bidi="ar"/>
              </w:rPr>
              <w:t>：提供规范中医辨证施治，对疗效不佳者及时转诊或调整。</w:t>
            </w:r>
          </w:p>
        </w:tc>
      </w:tr>
      <w:tr w14:paraId="1CA0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78F3640">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3186542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 多学科协作方案</w:t>
            </w:r>
          </w:p>
        </w:tc>
        <w:tc>
          <w:tcPr>
            <w:tcW w:w="2717" w:type="pct"/>
            <w:tcBorders>
              <w:top w:val="nil"/>
              <w:left w:val="nil"/>
              <w:bottom w:val="nil"/>
              <w:right w:val="nil"/>
            </w:tcBorders>
            <w:shd w:val="clear" w:color="auto" w:fill="FFFFFF"/>
            <w:vAlign w:val="top"/>
          </w:tcPr>
          <w:p w14:paraId="4DA9C1C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4.3.1 MDT团队协作</w:t>
            </w:r>
            <w:r>
              <w:rPr>
                <w:rStyle w:val="11"/>
                <w:rFonts w:hint="default" w:ascii="Times New Roman" w:hAnsi="Times New Roman" w:eastAsia="宋体" w:cs="Times New Roman"/>
                <w:b w:val="0"/>
                <w:color w:val="000000"/>
                <w:sz w:val="21"/>
                <w:szCs w:val="21"/>
                <w:lang w:val="en-US" w:eastAsia="zh-CN" w:bidi="ar"/>
              </w:rPr>
              <w:t>：对复杂病例建立心内、心外、影像、康复、营养、心理等多学科协作诊疗模式。</w:t>
            </w:r>
          </w:p>
        </w:tc>
      </w:tr>
      <w:tr w14:paraId="797CB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B0EA92E">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4F2836C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 药物治疗规范</w:t>
            </w:r>
          </w:p>
        </w:tc>
        <w:tc>
          <w:tcPr>
            <w:tcW w:w="2717" w:type="pct"/>
            <w:tcBorders>
              <w:top w:val="nil"/>
              <w:left w:val="nil"/>
              <w:bottom w:val="nil"/>
              <w:right w:val="nil"/>
            </w:tcBorders>
            <w:shd w:val="clear" w:color="auto" w:fill="FFFFFF"/>
            <w:vAlign w:val="top"/>
          </w:tcPr>
          <w:p w14:paraId="20FB923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4.4.1 二级预防药物</w:t>
            </w:r>
            <w:r>
              <w:rPr>
                <w:rStyle w:val="11"/>
                <w:rFonts w:hint="default" w:ascii="Times New Roman" w:hAnsi="Times New Roman" w:eastAsia="宋体" w:cs="Times New Roman"/>
                <w:b w:val="0"/>
                <w:color w:val="000000"/>
                <w:sz w:val="21"/>
                <w:szCs w:val="21"/>
                <w:lang w:val="en-US" w:eastAsia="zh-CN" w:bidi="ar"/>
              </w:rPr>
              <w:t>：规范使用阿司匹林、他汀类药物、β受体阻滞剂、ACEI/ARB等。</w:t>
            </w:r>
          </w:p>
        </w:tc>
      </w:tr>
      <w:tr w14:paraId="4E450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6E803AC">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2057469C">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6835B8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4.4.2 特殊人群用药</w:t>
            </w:r>
            <w:r>
              <w:rPr>
                <w:rStyle w:val="11"/>
                <w:rFonts w:hint="default" w:ascii="Times New Roman" w:hAnsi="Times New Roman" w:eastAsia="宋体" w:cs="Times New Roman"/>
                <w:b w:val="0"/>
                <w:color w:val="000000"/>
                <w:sz w:val="21"/>
                <w:szCs w:val="21"/>
                <w:lang w:val="en-US" w:eastAsia="zh-CN" w:bidi="ar"/>
              </w:rPr>
              <w:t>：根据合并症（糖尿病、慢性肾脏病）及年龄调整药物选择和剂量。</w:t>
            </w:r>
          </w:p>
        </w:tc>
      </w:tr>
      <w:tr w14:paraId="2C25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06C85E07">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1A50D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 血运重建与介入治疗</w:t>
            </w:r>
          </w:p>
        </w:tc>
        <w:tc>
          <w:tcPr>
            <w:tcW w:w="2717" w:type="pct"/>
            <w:tcBorders>
              <w:top w:val="nil"/>
              <w:left w:val="nil"/>
              <w:bottom w:val="nil"/>
              <w:right w:val="nil"/>
            </w:tcBorders>
            <w:shd w:val="clear" w:color="auto" w:fill="FFFFFF"/>
            <w:vAlign w:val="top"/>
          </w:tcPr>
          <w:p w14:paraId="34B04BD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4.5.1 治疗方式选择</w:t>
            </w:r>
            <w:r>
              <w:rPr>
                <w:rStyle w:val="11"/>
                <w:rFonts w:hint="default" w:ascii="Times New Roman" w:hAnsi="Times New Roman" w:eastAsia="宋体" w:cs="Times New Roman"/>
                <w:b w:val="0"/>
                <w:color w:val="000000"/>
                <w:sz w:val="21"/>
                <w:szCs w:val="21"/>
                <w:lang w:val="en-US" w:eastAsia="zh-CN" w:bidi="ar"/>
              </w:rPr>
              <w:t>：综合评估选择经皮冠状动脉介入治疗（PCI）或冠状动脉旁路移植术（CABG）。</w:t>
            </w:r>
          </w:p>
        </w:tc>
      </w:tr>
      <w:tr w14:paraId="45E04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617FC63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 功能康复</w:t>
            </w:r>
          </w:p>
        </w:tc>
        <w:tc>
          <w:tcPr>
            <w:tcW w:w="1379" w:type="pct"/>
            <w:tcBorders>
              <w:top w:val="nil"/>
              <w:left w:val="nil"/>
              <w:bottom w:val="nil"/>
              <w:right w:val="nil"/>
            </w:tcBorders>
            <w:shd w:val="clear" w:color="auto" w:fill="FFFFFF"/>
            <w:vAlign w:val="top"/>
          </w:tcPr>
          <w:p w14:paraId="3C804A4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 心脏康复运动训练</w:t>
            </w:r>
          </w:p>
        </w:tc>
        <w:tc>
          <w:tcPr>
            <w:tcW w:w="2717" w:type="pct"/>
            <w:tcBorders>
              <w:top w:val="nil"/>
              <w:left w:val="nil"/>
              <w:bottom w:val="nil"/>
              <w:right w:val="nil"/>
            </w:tcBorders>
            <w:shd w:val="clear" w:color="auto" w:fill="FFFFFF"/>
            <w:vAlign w:val="top"/>
          </w:tcPr>
          <w:p w14:paraId="21A0C4D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5.1.1 个体化运动处方</w:t>
            </w:r>
            <w:r>
              <w:rPr>
                <w:rStyle w:val="11"/>
                <w:rFonts w:hint="default" w:ascii="Times New Roman" w:hAnsi="Times New Roman" w:eastAsia="宋体" w:cs="Times New Roman"/>
                <w:b w:val="0"/>
                <w:color w:val="000000"/>
                <w:sz w:val="21"/>
                <w:szCs w:val="21"/>
                <w:lang w:val="en-US" w:eastAsia="zh-CN" w:bidi="ar"/>
              </w:rPr>
              <w:t>：制定每周≥150分钟中等强度或≥75分钟高强度活动的个体化运动处方。</w:t>
            </w:r>
          </w:p>
        </w:tc>
      </w:tr>
      <w:tr w14:paraId="3F910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1A6E1535">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B6D11F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 心理支持与情绪管理</w:t>
            </w:r>
          </w:p>
        </w:tc>
        <w:tc>
          <w:tcPr>
            <w:tcW w:w="2717" w:type="pct"/>
            <w:tcBorders>
              <w:top w:val="nil"/>
              <w:left w:val="nil"/>
              <w:bottom w:val="nil"/>
              <w:right w:val="nil"/>
            </w:tcBorders>
            <w:shd w:val="clear" w:color="auto" w:fill="FFFFFF"/>
            <w:vAlign w:val="top"/>
          </w:tcPr>
          <w:p w14:paraId="0F2B939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5.2.1 心理问题筛查与干预</w:t>
            </w:r>
            <w:r>
              <w:rPr>
                <w:rStyle w:val="11"/>
                <w:rFonts w:hint="default" w:ascii="Times New Roman" w:hAnsi="Times New Roman" w:eastAsia="宋体" w:cs="Times New Roman"/>
                <w:b w:val="0"/>
                <w:color w:val="000000"/>
                <w:sz w:val="21"/>
                <w:szCs w:val="21"/>
                <w:lang w:val="en-US" w:eastAsia="zh-CN" w:bidi="ar"/>
              </w:rPr>
              <w:t>：定期筛查焦虑、抑郁，并提供认知行为疗法等心理支持。</w:t>
            </w:r>
          </w:p>
        </w:tc>
      </w:tr>
      <w:tr w14:paraId="58C5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D441479">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3E34582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 生活方式重塑指导</w:t>
            </w:r>
          </w:p>
        </w:tc>
        <w:tc>
          <w:tcPr>
            <w:tcW w:w="2717" w:type="pct"/>
            <w:tcBorders>
              <w:top w:val="nil"/>
              <w:left w:val="nil"/>
              <w:bottom w:val="nil"/>
              <w:right w:val="nil"/>
            </w:tcBorders>
            <w:shd w:val="clear" w:color="auto" w:fill="FFFFFF"/>
            <w:vAlign w:val="top"/>
          </w:tcPr>
          <w:p w14:paraId="11E3297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5.3.1 系统性生活方式干预</w:t>
            </w:r>
            <w:r>
              <w:rPr>
                <w:rStyle w:val="11"/>
                <w:rFonts w:hint="default" w:ascii="Times New Roman" w:hAnsi="Times New Roman" w:eastAsia="宋体" w:cs="Times New Roman"/>
                <w:b w:val="0"/>
                <w:color w:val="000000"/>
                <w:sz w:val="21"/>
                <w:szCs w:val="21"/>
                <w:lang w:val="en-US" w:eastAsia="zh-CN" w:bidi="ar"/>
              </w:rPr>
              <w:t>：指导患者彻底戒烟、限酒、低盐低脂饮食、控制体重、保证睡眠。</w:t>
            </w:r>
          </w:p>
        </w:tc>
      </w:tr>
      <w:tr w14:paraId="2A342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1267196F">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778BCEE6">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481F63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5.3.2 应急知识教育</w:t>
            </w:r>
            <w:r>
              <w:rPr>
                <w:rStyle w:val="11"/>
                <w:rFonts w:hint="default" w:ascii="Times New Roman" w:hAnsi="Times New Roman" w:eastAsia="宋体" w:cs="Times New Roman"/>
                <w:b w:val="0"/>
                <w:color w:val="000000"/>
                <w:sz w:val="21"/>
                <w:szCs w:val="21"/>
                <w:lang w:val="en-US" w:eastAsia="zh-CN" w:bidi="ar"/>
              </w:rPr>
              <w:t>：使患者掌握急性心血管事件的识别方法与就医流程，指导配备急救药物。</w:t>
            </w:r>
          </w:p>
        </w:tc>
      </w:tr>
      <w:tr w14:paraId="353E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3609290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 长期护理</w:t>
            </w:r>
          </w:p>
        </w:tc>
        <w:tc>
          <w:tcPr>
            <w:tcW w:w="1379" w:type="pct"/>
            <w:vMerge w:val="restart"/>
            <w:tcBorders>
              <w:top w:val="nil"/>
              <w:left w:val="nil"/>
              <w:bottom w:val="nil"/>
              <w:right w:val="nil"/>
            </w:tcBorders>
            <w:shd w:val="clear" w:color="auto" w:fill="FFFFFF"/>
            <w:vAlign w:val="top"/>
          </w:tcPr>
          <w:p w14:paraId="57716DC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 居家康养与自我管理</w:t>
            </w:r>
          </w:p>
        </w:tc>
        <w:tc>
          <w:tcPr>
            <w:tcW w:w="2717" w:type="pct"/>
            <w:tcBorders>
              <w:top w:val="nil"/>
              <w:left w:val="nil"/>
              <w:bottom w:val="nil"/>
              <w:right w:val="nil"/>
            </w:tcBorders>
            <w:shd w:val="clear" w:color="auto" w:fill="FFFFFF"/>
            <w:vAlign w:val="top"/>
          </w:tcPr>
          <w:p w14:paraId="7BC9748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6.1.1 自我监测与管理</w:t>
            </w:r>
            <w:r>
              <w:rPr>
                <w:rStyle w:val="11"/>
                <w:rFonts w:hint="default" w:ascii="Times New Roman" w:hAnsi="Times New Roman" w:eastAsia="宋体" w:cs="Times New Roman"/>
                <w:b w:val="0"/>
                <w:color w:val="000000"/>
                <w:sz w:val="21"/>
                <w:szCs w:val="21"/>
                <w:lang w:val="en-US" w:eastAsia="zh-CN" w:bidi="ar"/>
              </w:rPr>
              <w:t>：指导患者定期监测生命体征，严格遵医嘱服药，鼓励使用远程设备。</w:t>
            </w:r>
          </w:p>
        </w:tc>
      </w:tr>
      <w:tr w14:paraId="121D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F8746F5">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7D76E4E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2941874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6.1.2 居家护理指导</w:t>
            </w:r>
            <w:r>
              <w:rPr>
                <w:rStyle w:val="11"/>
                <w:rFonts w:hint="default" w:ascii="Times New Roman" w:hAnsi="Times New Roman" w:eastAsia="宋体" w:cs="Times New Roman"/>
                <w:b w:val="0"/>
                <w:color w:val="000000"/>
                <w:sz w:val="21"/>
                <w:szCs w:val="21"/>
                <w:lang w:val="en-US" w:eastAsia="zh-CN" w:bidi="ar"/>
              </w:rPr>
              <w:t>：提供饮食、运动、用药依从性等方面的具体家庭护理指导。</w:t>
            </w:r>
          </w:p>
        </w:tc>
      </w:tr>
      <w:tr w14:paraId="41DBD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4875F7F6">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75A1CD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 机构照护与并发症预防</w:t>
            </w:r>
          </w:p>
        </w:tc>
        <w:tc>
          <w:tcPr>
            <w:tcW w:w="2717" w:type="pct"/>
            <w:tcBorders>
              <w:top w:val="nil"/>
              <w:left w:val="nil"/>
              <w:bottom w:val="nil"/>
              <w:right w:val="nil"/>
            </w:tcBorders>
            <w:shd w:val="clear" w:color="auto" w:fill="FFFFFF"/>
            <w:vAlign w:val="top"/>
          </w:tcPr>
          <w:p w14:paraId="076DE76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6.2.1 并发症监测与预防</w:t>
            </w:r>
            <w:r>
              <w:rPr>
                <w:rStyle w:val="11"/>
                <w:rFonts w:hint="default" w:ascii="Times New Roman" w:hAnsi="Times New Roman" w:eastAsia="宋体" w:cs="Times New Roman"/>
                <w:b w:val="0"/>
                <w:color w:val="000000"/>
                <w:sz w:val="21"/>
                <w:szCs w:val="21"/>
                <w:lang w:val="en-US" w:eastAsia="zh-CN" w:bidi="ar"/>
              </w:rPr>
              <w:t>：在机构中定期评估心功能，密切观察症状，预防心力衰竭、严重心律失常等并发症。</w:t>
            </w:r>
          </w:p>
        </w:tc>
      </w:tr>
      <w:tr w14:paraId="78457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single" w:color="000000" w:sz="12" w:space="0"/>
              <w:right w:val="nil"/>
            </w:tcBorders>
            <w:shd w:val="clear" w:color="auto" w:fill="FFFFFF"/>
            <w:vAlign w:val="top"/>
          </w:tcPr>
          <w:p w14:paraId="3D0E49F4">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single" w:color="000000" w:sz="12" w:space="0"/>
              <w:right w:val="nil"/>
            </w:tcBorders>
            <w:shd w:val="clear" w:color="auto" w:fill="FFFFFF"/>
            <w:vAlign w:val="top"/>
          </w:tcPr>
          <w:p w14:paraId="18584A5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 安宁疗护支持</w:t>
            </w:r>
          </w:p>
        </w:tc>
        <w:tc>
          <w:tcPr>
            <w:tcW w:w="2717" w:type="pct"/>
            <w:tcBorders>
              <w:top w:val="nil"/>
              <w:left w:val="nil"/>
              <w:bottom w:val="single" w:color="000000" w:sz="12" w:space="0"/>
              <w:right w:val="nil"/>
            </w:tcBorders>
            <w:shd w:val="clear" w:color="auto" w:fill="FFFFFF"/>
            <w:vAlign w:val="top"/>
          </w:tcPr>
          <w:p w14:paraId="3D2228A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6.3.1 终末期综合照护</w:t>
            </w:r>
            <w:r>
              <w:rPr>
                <w:rStyle w:val="11"/>
                <w:rFonts w:hint="default" w:ascii="Times New Roman" w:hAnsi="Times New Roman" w:eastAsia="宋体" w:cs="Times New Roman"/>
                <w:b w:val="0"/>
                <w:color w:val="000000"/>
                <w:sz w:val="21"/>
                <w:szCs w:val="21"/>
                <w:lang w:val="en-US" w:eastAsia="zh-CN" w:bidi="ar"/>
              </w:rPr>
              <w:t>：为终末期患者提供疼痛管理、心理疏导、家属哀伤辅导等人文关怀服务。</w:t>
            </w:r>
          </w:p>
        </w:tc>
      </w:tr>
    </w:tbl>
    <w:p w14:paraId="2ACAA31E">
      <w:pPr>
        <w:keepNext w:val="0"/>
        <w:keepLines w:val="0"/>
        <w:pageBreakBefore w:val="0"/>
        <w:kinsoku/>
        <w:wordWrap/>
        <w:overflowPunct/>
        <w:topLinePunct w:val="0"/>
        <w:autoSpaceDE/>
        <w:autoSpaceDN/>
        <w:bidi w:val="0"/>
        <w:adjustRightInd/>
        <w:snapToGrid/>
        <w:spacing w:line="660" w:lineRule="exact"/>
        <w:textAlignment w:val="auto"/>
        <w:rPr>
          <w:rFonts w:hint="eastAsia" w:ascii="仿宋_GB2312" w:hAnsi="仿宋_GB2312" w:eastAsia="仿宋_GB2312" w:cs="仿宋_GB2312"/>
          <w:color w:val="auto"/>
          <w:szCs w:val="32"/>
          <w:shd w:val="clear" w:color="auto" w:fill="FFFFFF"/>
          <w:lang w:val="en-US" w:eastAsia="zh-CN"/>
        </w:rPr>
      </w:pPr>
    </w:p>
    <w:p w14:paraId="609BE49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3 高血压服务技术分级建设规范编制 </w:t>
      </w:r>
    </w:p>
    <w:p w14:paraId="7BB1051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3.1 描述</w:t>
      </w:r>
    </w:p>
    <w:p w14:paraId="2F9EC50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脑卒中服务技术分级建设规范旨在构建一个覆盖急性期救治、恢复期康复与长期预防的整合式技术框架。本规范针对脑卒中“防、筛、管、治、康、护”全链条，通过三级技术划分，明确不同阶段、不同层级机构的服务重点与协作路径，旨在降低卒中发病、复发与致残率，提升患者功能结局与生活质量。</w:t>
      </w:r>
    </w:p>
    <w:p w14:paraId="6A19A94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3.2 指标分类</w:t>
      </w:r>
    </w:p>
    <w:p w14:paraId="753FF7A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3.2.1 一级技术</w:t>
      </w:r>
    </w:p>
    <w:p w14:paraId="45C1FB0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设置6个一级技术模块：预防干预、早期筛查、分级管理、规范治疗、功能康复、长期护理。此结构贯穿卒中一级预防、急性期识别与救治、恢复期康复及长期社区管理的全过程，强调时间窗管理与多阶段衔接。</w:t>
      </w:r>
    </w:p>
    <w:p w14:paraId="5867A422">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3.2.2 二级技术</w:t>
      </w:r>
    </w:p>
    <w:p w14:paraId="5ADDACC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共设置13个二级技术节点。二级技术聚焦各阶段的核心任务与关键环节。包括分级预防、筛查组织与对象、危险因素评估与分层、筛查随访与社区管理、风险分层干预、康复转诊机制、急性期治疗性康复介入、恢复期康复管理、社区与家庭康复管理、专项康复治疗、康复护理原则与实施、系统化健康教育、专业化康复监护。</w:t>
      </w:r>
    </w:p>
    <w:p w14:paraId="214E2200">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3.2.3 三级技术</w:t>
      </w:r>
    </w:p>
    <w:p w14:paraId="005DB49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三级技术共27项，是可执行、可评估的具体操作条目。具体见表3。</w:t>
      </w:r>
    </w:p>
    <w:p w14:paraId="07979A7C">
      <w:pPr>
        <w:pStyle w:val="10"/>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w:t>
      </w:r>
      <w:r>
        <w:rPr>
          <w:rFonts w:hint="eastAsia" w:ascii="Times New Roman"/>
          <w:b/>
          <w:bCs/>
          <w:lang w:val="en-US" w:eastAsia="zh-CN"/>
        </w:rPr>
        <w:t>3</w:t>
      </w:r>
      <w:r>
        <w:rPr>
          <w:rFonts w:hint="eastAsia" w:ascii="Times New Roman"/>
          <w:b/>
          <w:bCs/>
        </w:rPr>
        <w:t xml:space="preserve">  </w:t>
      </w:r>
      <w:r>
        <w:rPr>
          <w:rFonts w:hint="eastAsia" w:ascii="Times New Roman"/>
          <w:b/>
          <w:bCs/>
          <w:lang w:val="en-US" w:eastAsia="zh-CN"/>
        </w:rPr>
        <w:t>脑卒中“防、筛、管、治、康、护”服务技术标准体系</w:t>
      </w:r>
    </w:p>
    <w:tbl>
      <w:tblPr>
        <w:tblStyle w:val="5"/>
        <w:tblW w:w="512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87"/>
        <w:gridCol w:w="2834"/>
        <w:gridCol w:w="4390"/>
      </w:tblGrid>
      <w:tr w14:paraId="0D15C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2" w:type="pct"/>
            <w:tcBorders>
              <w:top w:val="single" w:color="000000" w:sz="12" w:space="0"/>
              <w:left w:val="nil"/>
              <w:bottom w:val="single" w:color="000000" w:sz="4" w:space="0"/>
              <w:right w:val="nil"/>
              <w:tl2br w:val="nil"/>
            </w:tcBorders>
            <w:shd w:val="clear" w:color="auto" w:fill="FFFFFF"/>
            <w:vAlign w:val="top"/>
          </w:tcPr>
          <w:p w14:paraId="30D7254C">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一级技术</w:t>
            </w:r>
          </w:p>
        </w:tc>
        <w:tc>
          <w:tcPr>
            <w:tcW w:w="1489" w:type="pct"/>
            <w:tcBorders>
              <w:top w:val="single" w:color="000000" w:sz="12" w:space="0"/>
              <w:left w:val="nil"/>
              <w:bottom w:val="single" w:color="000000" w:sz="4" w:space="0"/>
              <w:right w:val="nil"/>
            </w:tcBorders>
            <w:shd w:val="clear" w:color="auto" w:fill="FFFFFF"/>
            <w:vAlign w:val="top"/>
          </w:tcPr>
          <w:p w14:paraId="4FAA141C">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307" w:type="pct"/>
            <w:tcBorders>
              <w:top w:val="single" w:color="000000" w:sz="12" w:space="0"/>
              <w:left w:val="nil"/>
              <w:bottom w:val="single" w:color="000000" w:sz="4" w:space="0"/>
              <w:right w:val="nil"/>
            </w:tcBorders>
            <w:shd w:val="clear" w:color="auto" w:fill="FFFFFF"/>
            <w:vAlign w:val="top"/>
          </w:tcPr>
          <w:p w14:paraId="02CDA26F">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3A338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single" w:color="000000" w:sz="4" w:space="0"/>
              <w:left w:val="nil"/>
              <w:right w:val="nil"/>
            </w:tcBorders>
            <w:shd w:val="clear" w:color="auto" w:fill="FFFFFF"/>
            <w:vAlign w:val="top"/>
          </w:tcPr>
          <w:p w14:paraId="020D1C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 预防干预</w:t>
            </w:r>
          </w:p>
        </w:tc>
        <w:tc>
          <w:tcPr>
            <w:tcW w:w="1489" w:type="pct"/>
            <w:vMerge w:val="restart"/>
            <w:tcBorders>
              <w:top w:val="single" w:color="000000" w:sz="4" w:space="0"/>
              <w:left w:val="nil"/>
              <w:right w:val="nil"/>
            </w:tcBorders>
            <w:shd w:val="clear" w:color="auto" w:fill="FFFFFF"/>
            <w:vAlign w:val="top"/>
          </w:tcPr>
          <w:p w14:paraId="2870382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1.1 </w:t>
            </w:r>
            <w:r>
              <w:rPr>
                <w:rFonts w:hint="default" w:ascii="Times New Roman" w:hAnsi="Times New Roman" w:cs="Times New Roman"/>
                <w:b w:val="0"/>
                <w:i w:val="0"/>
                <w:iCs w:val="0"/>
                <w:color w:val="000000"/>
                <w:kern w:val="0"/>
                <w:sz w:val="21"/>
                <w:szCs w:val="21"/>
                <w:u w:val="none"/>
                <w:lang w:val="en-US" w:eastAsia="zh-CN" w:bidi="ar"/>
              </w:rPr>
              <w:t>分</w:t>
            </w:r>
            <w:r>
              <w:rPr>
                <w:rFonts w:hint="default" w:ascii="Times New Roman" w:hAnsi="Times New Roman" w:eastAsia="宋体" w:cs="Times New Roman"/>
                <w:b w:val="0"/>
                <w:i w:val="0"/>
                <w:iCs w:val="0"/>
                <w:color w:val="000000"/>
                <w:kern w:val="0"/>
                <w:sz w:val="21"/>
                <w:szCs w:val="21"/>
                <w:u w:val="none"/>
                <w:lang w:val="en-US" w:eastAsia="zh-CN" w:bidi="ar"/>
              </w:rPr>
              <w:t>级预防（高危人群）</w:t>
            </w:r>
          </w:p>
        </w:tc>
        <w:tc>
          <w:tcPr>
            <w:tcW w:w="2307" w:type="pct"/>
            <w:tcBorders>
              <w:top w:val="single" w:color="000000" w:sz="4" w:space="0"/>
              <w:left w:val="nil"/>
              <w:bottom w:val="nil"/>
              <w:right w:val="nil"/>
            </w:tcBorders>
            <w:shd w:val="clear" w:color="auto" w:fill="FFFFFF"/>
            <w:vAlign w:val="top"/>
          </w:tcPr>
          <w:p w14:paraId="289BAF6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1.1.1  一级预防（高危人群）</w:t>
            </w:r>
            <w:r>
              <w:rPr>
                <w:rFonts w:hint="default" w:ascii="Times New Roman" w:hAnsi="Times New Roman" w:cs="Times New Roman"/>
                <w:b w:val="0"/>
                <w:i w:val="0"/>
                <w:iCs w:val="0"/>
                <w:color w:val="000000"/>
                <w:kern w:val="0"/>
                <w:sz w:val="21"/>
                <w:szCs w:val="21"/>
                <w:u w:val="none"/>
                <w:lang w:val="en-US" w:eastAsia="zh-CN" w:bidi="ar"/>
              </w:rPr>
              <w:t>：a)危险因素控制：</w:t>
            </w:r>
            <w:r>
              <w:rPr>
                <w:rFonts w:hint="default" w:ascii="Times New Roman" w:hAnsi="Times New Roman" w:eastAsia="宋体" w:cs="Times New Roman"/>
                <w:b w:val="0"/>
                <w:i w:val="0"/>
                <w:iCs w:val="0"/>
                <w:color w:val="000000"/>
                <w:kern w:val="0"/>
                <w:sz w:val="21"/>
                <w:szCs w:val="21"/>
                <w:u w:val="none"/>
                <w:lang w:val="en-US" w:eastAsia="zh-CN" w:bidi="ar"/>
              </w:rPr>
              <w:t>系统筛查与管理高血压、糖尿病、血脂异常、高同型半胱氨酸血症等，并使其达标。</w:t>
            </w:r>
          </w:p>
          <w:p w14:paraId="550AD16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b) </w:t>
            </w:r>
            <w:r>
              <w:rPr>
                <w:rFonts w:hint="default" w:ascii="Times New Roman" w:hAnsi="Times New Roman" w:eastAsia="宋体" w:cs="Times New Roman"/>
                <w:b w:val="0"/>
                <w:i w:val="0"/>
                <w:iCs w:val="0"/>
                <w:color w:val="000000"/>
                <w:kern w:val="0"/>
                <w:sz w:val="21"/>
                <w:szCs w:val="21"/>
                <w:u w:val="none"/>
                <w:lang w:val="en-US" w:eastAsia="zh-CN" w:bidi="ar"/>
              </w:rPr>
              <w:t>健康生活方式倡导：倡导规律身体活动、维持健康体重、减少静坐时间、彻底戒烟。</w:t>
            </w:r>
          </w:p>
          <w:p w14:paraId="7B339B9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c) </w:t>
            </w:r>
            <w:r>
              <w:rPr>
                <w:rFonts w:hint="default" w:ascii="Times New Roman" w:hAnsi="Times New Roman" w:eastAsia="宋体" w:cs="Times New Roman"/>
                <w:b w:val="0"/>
                <w:i w:val="0"/>
                <w:iCs w:val="0"/>
                <w:color w:val="000000"/>
                <w:kern w:val="0"/>
                <w:sz w:val="21"/>
                <w:szCs w:val="21"/>
                <w:u w:val="none"/>
                <w:lang w:val="en-US" w:eastAsia="zh-CN" w:bidi="ar"/>
              </w:rPr>
              <w:t>合理膳食指导：重点限制钠盐摄入，鼓励增加新鲜蔬菜、水果摄入。</w:t>
            </w:r>
          </w:p>
        </w:tc>
      </w:tr>
      <w:tr w14:paraId="5BE51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770829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left w:val="nil"/>
              <w:right w:val="nil"/>
            </w:tcBorders>
            <w:shd w:val="clear" w:color="auto" w:fill="FFFFFF"/>
            <w:vAlign w:val="top"/>
          </w:tcPr>
          <w:p w14:paraId="0C8D896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06F7004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w:t>
            </w:r>
            <w:r>
              <w:rPr>
                <w:rFonts w:hint="default" w:ascii="Times New Roman" w:hAnsi="Times New Roman" w:cs="Times New Roman"/>
                <w:b w:val="0"/>
                <w:i w:val="0"/>
                <w:iCs w:val="0"/>
                <w:color w:val="000000"/>
                <w:kern w:val="0"/>
                <w:sz w:val="21"/>
                <w:szCs w:val="21"/>
                <w:u w:val="none"/>
                <w:lang w:val="en-US" w:eastAsia="zh-CN" w:bidi="ar"/>
              </w:rPr>
              <w:t>1.</w:t>
            </w:r>
            <w:r>
              <w:rPr>
                <w:rFonts w:hint="default" w:ascii="Times New Roman" w:hAnsi="Times New Roman" w:eastAsia="宋体" w:cs="Times New Roman"/>
                <w:b w:val="0"/>
                <w:i w:val="0"/>
                <w:iCs w:val="0"/>
                <w:color w:val="000000"/>
                <w:kern w:val="0"/>
                <w:sz w:val="21"/>
                <w:szCs w:val="21"/>
                <w:u w:val="none"/>
                <w:lang w:val="en-US" w:eastAsia="zh-CN" w:bidi="ar"/>
              </w:rPr>
              <w:t>2 二级预防（已病患者）</w:t>
            </w:r>
            <w:r>
              <w:rPr>
                <w:rFonts w:hint="default" w:ascii="Times New Roman" w:hAnsi="Times New Roman" w:cs="Times New Roman"/>
                <w:b w:val="0"/>
                <w:i w:val="0"/>
                <w:iCs w:val="0"/>
                <w:color w:val="000000"/>
                <w:kern w:val="0"/>
                <w:sz w:val="21"/>
                <w:szCs w:val="21"/>
                <w:u w:val="none"/>
                <w:lang w:val="en-US" w:eastAsia="zh-CN" w:bidi="ar"/>
              </w:rPr>
              <w:t xml:space="preserve">：a) </w:t>
            </w:r>
            <w:r>
              <w:rPr>
                <w:rFonts w:hint="default" w:ascii="Times New Roman" w:hAnsi="Times New Roman" w:eastAsia="宋体" w:cs="Times New Roman"/>
                <w:b w:val="0"/>
                <w:i w:val="0"/>
                <w:iCs w:val="0"/>
                <w:color w:val="000000"/>
                <w:kern w:val="0"/>
                <w:sz w:val="21"/>
                <w:szCs w:val="21"/>
                <w:u w:val="none"/>
                <w:lang w:val="en-US" w:eastAsia="zh-CN" w:bidi="ar"/>
              </w:rPr>
              <w:t>早期规范化诊治：对患者进行早期、准确的诊断与评估，并启动规范化急性期与长期治疗。</w:t>
            </w:r>
          </w:p>
          <w:p w14:paraId="64580F5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b) </w:t>
            </w:r>
            <w:r>
              <w:rPr>
                <w:rFonts w:hint="default" w:ascii="Times New Roman" w:hAnsi="Times New Roman" w:eastAsia="宋体" w:cs="Times New Roman"/>
                <w:b w:val="0"/>
                <w:i w:val="0"/>
                <w:iCs w:val="0"/>
                <w:color w:val="000000"/>
                <w:kern w:val="0"/>
                <w:sz w:val="21"/>
                <w:szCs w:val="21"/>
                <w:u w:val="none"/>
                <w:lang w:val="en-US" w:eastAsia="zh-CN" w:bidi="ar"/>
              </w:rPr>
              <w:t>个体化药物治疗：依据个体危险因素评估结果，制定并实施针对性药物治疗方案。</w:t>
            </w:r>
          </w:p>
          <w:p w14:paraId="634E3D3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c) </w:t>
            </w:r>
            <w:r>
              <w:rPr>
                <w:rFonts w:hint="default" w:ascii="Times New Roman" w:hAnsi="Times New Roman" w:eastAsia="宋体" w:cs="Times New Roman"/>
                <w:b w:val="0"/>
                <w:i w:val="0"/>
                <w:iCs w:val="0"/>
                <w:color w:val="000000"/>
                <w:kern w:val="0"/>
                <w:sz w:val="21"/>
                <w:szCs w:val="21"/>
                <w:u w:val="none"/>
                <w:lang w:val="en-US" w:eastAsia="zh-CN" w:bidi="ar"/>
              </w:rPr>
              <w:t>药物与非药物协同：在药物治疗基础上，强化患者生活方式干预的依从性。</w:t>
            </w:r>
          </w:p>
        </w:tc>
      </w:tr>
      <w:tr w14:paraId="7F4B7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1202" w:type="pct"/>
            <w:vMerge w:val="continue"/>
            <w:tcBorders>
              <w:left w:val="nil"/>
              <w:right w:val="nil"/>
            </w:tcBorders>
            <w:shd w:val="clear" w:color="auto" w:fill="FFFFFF"/>
            <w:vAlign w:val="top"/>
          </w:tcPr>
          <w:p w14:paraId="37255B3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left w:val="nil"/>
              <w:bottom w:val="nil"/>
              <w:right w:val="nil"/>
            </w:tcBorders>
            <w:shd w:val="clear" w:color="auto" w:fill="FFFFFF"/>
            <w:vAlign w:val="top"/>
          </w:tcPr>
          <w:p w14:paraId="5D1AFE6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72C09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w:t>
            </w:r>
            <w:r>
              <w:rPr>
                <w:rFonts w:hint="default" w:ascii="Times New Roman" w:hAnsi="Times New Roman" w:cs="Times New Roman"/>
                <w:b w:val="0"/>
                <w:i w:val="0"/>
                <w:iCs w:val="0"/>
                <w:color w:val="000000"/>
                <w:kern w:val="0"/>
                <w:sz w:val="21"/>
                <w:szCs w:val="21"/>
                <w:u w:val="none"/>
                <w:lang w:val="en-US" w:eastAsia="zh-CN" w:bidi="ar"/>
              </w:rPr>
              <w:t>1.</w:t>
            </w:r>
            <w:r>
              <w:rPr>
                <w:rFonts w:hint="default" w:ascii="Times New Roman" w:hAnsi="Times New Roman" w:eastAsia="宋体" w:cs="Times New Roman"/>
                <w:b w:val="0"/>
                <w:i w:val="0"/>
                <w:iCs w:val="0"/>
                <w:color w:val="000000"/>
                <w:kern w:val="0"/>
                <w:sz w:val="21"/>
                <w:szCs w:val="21"/>
                <w:u w:val="none"/>
                <w:lang w:val="en-US" w:eastAsia="zh-CN" w:bidi="ar"/>
              </w:rPr>
              <w:t>3</w:t>
            </w:r>
            <w:r>
              <w:rPr>
                <w:rFonts w:hint="default" w:ascii="Times New Roman" w:hAnsi="Times New Roman" w:cs="Times New Roman"/>
                <w:b w:val="0"/>
                <w:i w:val="0"/>
                <w:iCs w:val="0"/>
                <w:color w:val="000000"/>
                <w:kern w:val="0"/>
                <w:sz w:val="21"/>
                <w:szCs w:val="21"/>
                <w:u w:val="none"/>
                <w:lang w:val="en-US" w:eastAsia="zh-CN" w:bidi="ar"/>
              </w:rPr>
              <w:t xml:space="preserve"> </w:t>
            </w:r>
            <w:r>
              <w:rPr>
                <w:rFonts w:hint="default" w:ascii="Times New Roman" w:hAnsi="Times New Roman" w:eastAsia="宋体" w:cs="Times New Roman"/>
                <w:b w:val="0"/>
                <w:i w:val="0"/>
                <w:iCs w:val="0"/>
                <w:color w:val="000000"/>
                <w:kern w:val="0"/>
                <w:sz w:val="21"/>
                <w:szCs w:val="21"/>
                <w:u w:val="none"/>
                <w:lang w:val="en-US" w:eastAsia="zh-CN" w:bidi="ar"/>
              </w:rPr>
              <w:t>三级预防（后遗症患者）</w:t>
            </w:r>
            <w:r>
              <w:rPr>
                <w:rFonts w:hint="default" w:ascii="Times New Roman" w:hAnsi="Times New Roman" w:cs="Times New Roman"/>
                <w:b w:val="0"/>
                <w:i w:val="0"/>
                <w:iCs w:val="0"/>
                <w:color w:val="000000"/>
                <w:kern w:val="0"/>
                <w:sz w:val="21"/>
                <w:szCs w:val="21"/>
                <w:u w:val="none"/>
                <w:lang w:val="en-US" w:eastAsia="zh-CN" w:bidi="ar"/>
              </w:rPr>
              <w:t>：a)</w:t>
            </w:r>
            <w:r>
              <w:rPr>
                <w:rFonts w:hint="default" w:ascii="Times New Roman" w:hAnsi="Times New Roman" w:eastAsia="宋体" w:cs="Times New Roman"/>
                <w:b w:val="0"/>
                <w:i w:val="0"/>
                <w:iCs w:val="0"/>
                <w:color w:val="000000"/>
                <w:kern w:val="0"/>
                <w:sz w:val="21"/>
                <w:szCs w:val="21"/>
                <w:u w:val="none"/>
                <w:lang w:val="en-US" w:eastAsia="zh-CN" w:bidi="ar"/>
              </w:rPr>
              <w:t>个体化康复计划：制定与实施个体化、阶段性的康复治疗计划。</w:t>
            </w:r>
          </w:p>
          <w:p w14:paraId="1E5B87A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b)</w:t>
            </w:r>
            <w:r>
              <w:rPr>
                <w:rFonts w:hint="default" w:ascii="Times New Roman" w:hAnsi="Times New Roman" w:eastAsia="宋体" w:cs="Times New Roman"/>
                <w:b w:val="0"/>
                <w:i w:val="0"/>
                <w:iCs w:val="0"/>
                <w:color w:val="000000"/>
                <w:kern w:val="0"/>
                <w:sz w:val="21"/>
                <w:szCs w:val="21"/>
                <w:u w:val="none"/>
                <w:lang w:val="en-US" w:eastAsia="zh-CN" w:bidi="ar"/>
              </w:rPr>
              <w:t>系统专业护理：提供系统、专业的护理支持，预防继发性功能损害与病情加重。</w:t>
            </w:r>
          </w:p>
        </w:tc>
      </w:tr>
      <w:tr w14:paraId="24C82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1202" w:type="pct"/>
            <w:vMerge w:val="restart"/>
            <w:tcBorders>
              <w:top w:val="nil"/>
              <w:left w:val="nil"/>
              <w:right w:val="nil"/>
            </w:tcBorders>
            <w:shd w:val="clear" w:color="auto" w:fill="FFFFFF"/>
            <w:vAlign w:val="top"/>
          </w:tcPr>
          <w:p w14:paraId="147FB54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 早期筛查</w:t>
            </w:r>
          </w:p>
        </w:tc>
        <w:tc>
          <w:tcPr>
            <w:tcW w:w="1489" w:type="pct"/>
            <w:vMerge w:val="restart"/>
            <w:tcBorders>
              <w:top w:val="nil"/>
              <w:left w:val="nil"/>
              <w:bottom w:val="nil"/>
              <w:right w:val="nil"/>
            </w:tcBorders>
            <w:shd w:val="clear" w:color="auto" w:fill="FFFFFF"/>
            <w:vAlign w:val="top"/>
          </w:tcPr>
          <w:p w14:paraId="5BF5CA9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 筛查组织与对象</w:t>
            </w:r>
          </w:p>
        </w:tc>
        <w:tc>
          <w:tcPr>
            <w:tcW w:w="2307" w:type="pct"/>
            <w:tcBorders>
              <w:top w:val="nil"/>
              <w:left w:val="nil"/>
              <w:bottom w:val="nil"/>
              <w:right w:val="nil"/>
            </w:tcBorders>
            <w:shd w:val="clear" w:color="auto" w:fill="FFFFFF"/>
            <w:vAlign w:val="top"/>
          </w:tcPr>
          <w:p w14:paraId="31AB076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2.1.1 目标人群界定：针对40岁及以上社区常住居民开展脑卒中风险筛查。</w:t>
            </w:r>
          </w:p>
        </w:tc>
      </w:tr>
      <w:tr w14:paraId="72C1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0AB87A3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5489D70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FB350A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2.1.2 实施主体与职责：以社区卫生服务中心为主体，在疾控机构指导下完成筛查建档、风险评估及数据上报。</w:t>
            </w:r>
          </w:p>
        </w:tc>
      </w:tr>
      <w:tr w14:paraId="34593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2" w:type="pct"/>
            <w:vMerge w:val="continue"/>
            <w:tcBorders>
              <w:left w:val="nil"/>
              <w:right w:val="nil"/>
            </w:tcBorders>
            <w:shd w:val="clear" w:color="auto" w:fill="FFFFFF"/>
            <w:vAlign w:val="top"/>
          </w:tcPr>
          <w:p w14:paraId="240CC0F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406BA9D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 危险因素评估与分层</w:t>
            </w:r>
          </w:p>
        </w:tc>
        <w:tc>
          <w:tcPr>
            <w:tcW w:w="2307" w:type="pct"/>
            <w:tcBorders>
              <w:top w:val="nil"/>
              <w:left w:val="nil"/>
              <w:bottom w:val="nil"/>
              <w:right w:val="nil"/>
            </w:tcBorders>
            <w:shd w:val="clear" w:color="auto" w:fill="FFFFFF"/>
            <w:vAlign w:val="top"/>
          </w:tcPr>
          <w:p w14:paraId="266F038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2.2.1 核心危险因素收集：至少包括高血压、房颤、吸烟、血脂异常、糖尿病、缺乏运动、肥胖、卵圆孔未闭、脑卒中家族史或个人史等9项。</w:t>
            </w:r>
          </w:p>
        </w:tc>
      </w:tr>
      <w:tr w14:paraId="2C4BD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1" w:hRule="atLeast"/>
        </w:trPr>
        <w:tc>
          <w:tcPr>
            <w:tcW w:w="1202" w:type="pct"/>
            <w:vMerge w:val="continue"/>
            <w:tcBorders>
              <w:left w:val="nil"/>
              <w:right w:val="nil"/>
            </w:tcBorders>
            <w:shd w:val="clear" w:color="auto" w:fill="FFFFFF"/>
            <w:vAlign w:val="top"/>
          </w:tcPr>
          <w:p w14:paraId="53E75EF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EE2B3B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7D3361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2.2.2 风险等级判定：根据危险因素数量及慢性病史，将人群分为高危（≥3项或TIA/卒中史）、中危（&lt;3项但患慢性病）、低危（&lt;3项且无慢性病）。</w:t>
            </w:r>
          </w:p>
        </w:tc>
      </w:tr>
      <w:tr w14:paraId="396B5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6D8B958">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481A2BF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 筛查随访与社区管理</w:t>
            </w:r>
          </w:p>
        </w:tc>
        <w:tc>
          <w:tcPr>
            <w:tcW w:w="2307" w:type="pct"/>
            <w:tcBorders>
              <w:top w:val="nil"/>
              <w:left w:val="nil"/>
              <w:bottom w:val="nil"/>
              <w:right w:val="nil"/>
            </w:tcBorders>
            <w:shd w:val="clear" w:color="auto" w:fill="FFFFFF"/>
            <w:vAlign w:val="top"/>
          </w:tcPr>
          <w:p w14:paraId="17ADDFB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2.3.1 高危人群队列管理：社区卫生服务中心负责建立并管理高危人群随访队列，实施长期跟踪、干预与数据管理。</w:t>
            </w:r>
          </w:p>
        </w:tc>
      </w:tr>
      <w:tr w14:paraId="0775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1202" w:type="pct"/>
            <w:vMerge w:val="continue"/>
            <w:tcBorders>
              <w:left w:val="nil"/>
              <w:bottom w:val="nil"/>
              <w:right w:val="nil"/>
            </w:tcBorders>
            <w:shd w:val="clear" w:color="auto" w:fill="FFFFFF"/>
            <w:vAlign w:val="top"/>
          </w:tcPr>
          <w:p w14:paraId="06C5231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7986551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AAB714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2.3.2 质量督导：疾病预防控制部门对筛查与随访数据的完整性、覆盖质量进行督导。</w:t>
            </w:r>
          </w:p>
        </w:tc>
      </w:tr>
      <w:tr w14:paraId="6C04A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6E269E9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 分级管理</w:t>
            </w:r>
          </w:p>
        </w:tc>
        <w:tc>
          <w:tcPr>
            <w:tcW w:w="1489" w:type="pct"/>
            <w:vMerge w:val="restart"/>
            <w:tcBorders>
              <w:top w:val="nil"/>
              <w:left w:val="nil"/>
              <w:bottom w:val="nil"/>
              <w:right w:val="nil"/>
            </w:tcBorders>
            <w:shd w:val="clear" w:color="auto" w:fill="FFFFFF"/>
            <w:vAlign w:val="top"/>
          </w:tcPr>
          <w:p w14:paraId="149A6CA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3.1 </w:t>
            </w:r>
            <w:r>
              <w:rPr>
                <w:rFonts w:hint="default" w:ascii="Times New Roman" w:hAnsi="Times New Roman" w:cs="Times New Roman"/>
                <w:b w:val="0"/>
                <w:i w:val="0"/>
                <w:iCs w:val="0"/>
                <w:color w:val="000000"/>
                <w:kern w:val="0"/>
                <w:sz w:val="21"/>
                <w:szCs w:val="21"/>
                <w:u w:val="none"/>
                <w:lang w:val="en-US" w:eastAsia="zh-CN" w:bidi="ar"/>
              </w:rPr>
              <w:t>风险</w:t>
            </w:r>
            <w:r>
              <w:rPr>
                <w:rFonts w:hint="default" w:ascii="Times New Roman" w:hAnsi="Times New Roman" w:eastAsia="宋体" w:cs="Times New Roman"/>
                <w:b w:val="0"/>
                <w:i w:val="0"/>
                <w:iCs w:val="0"/>
                <w:color w:val="000000"/>
                <w:kern w:val="0"/>
                <w:sz w:val="21"/>
                <w:szCs w:val="21"/>
                <w:u w:val="none"/>
                <w:lang w:val="en-US" w:eastAsia="zh-CN" w:bidi="ar"/>
              </w:rPr>
              <w:t>分层干预</w:t>
            </w:r>
          </w:p>
        </w:tc>
        <w:tc>
          <w:tcPr>
            <w:tcW w:w="2307" w:type="pct"/>
            <w:tcBorders>
              <w:top w:val="nil"/>
              <w:left w:val="nil"/>
              <w:bottom w:val="nil"/>
              <w:right w:val="nil"/>
            </w:tcBorders>
            <w:shd w:val="clear" w:color="auto" w:fill="FFFFFF"/>
            <w:vAlign w:val="top"/>
          </w:tcPr>
          <w:p w14:paraId="4510810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3.1.1 中低危人群干预：以社区卫生服务机构为主，实施以健康教育为核心的生活方式干预。</w:t>
            </w:r>
          </w:p>
        </w:tc>
      </w:tr>
      <w:tr w14:paraId="251E2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12CC3C0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7BBA9FD5">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0FE0752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3.1.2 中高危人群转诊：经全科医师初筛后，根据病情转诊至专科进行诊断评估与方案制定，稳定后回转社区管理。</w:t>
            </w:r>
          </w:p>
        </w:tc>
      </w:tr>
      <w:tr w14:paraId="645C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1" w:hRule="atLeast"/>
        </w:trPr>
        <w:tc>
          <w:tcPr>
            <w:tcW w:w="1202" w:type="pct"/>
            <w:vMerge w:val="continue"/>
            <w:tcBorders>
              <w:left w:val="nil"/>
              <w:right w:val="nil"/>
            </w:tcBorders>
            <w:shd w:val="clear" w:color="auto" w:fill="FFFFFF"/>
            <w:vAlign w:val="top"/>
          </w:tcPr>
          <w:p w14:paraId="1138A111">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6E48DB9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 康复转诊机制</w:t>
            </w:r>
          </w:p>
        </w:tc>
        <w:tc>
          <w:tcPr>
            <w:tcW w:w="2307" w:type="pct"/>
            <w:tcBorders>
              <w:top w:val="nil"/>
              <w:left w:val="nil"/>
              <w:bottom w:val="nil"/>
              <w:right w:val="nil"/>
            </w:tcBorders>
            <w:shd w:val="clear" w:color="auto" w:fill="FFFFFF"/>
            <w:vAlign w:val="top"/>
          </w:tcPr>
          <w:p w14:paraId="0F12417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3.2.1 转诊至康复机构标准：生命体征平稳&gt;72小时，急性期治疗完成，病情稳定但仍存在中重度功能障碍，预计可通过系统康复进一步改善。</w:t>
            </w:r>
          </w:p>
        </w:tc>
      </w:tr>
      <w:tr w14:paraId="0B91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89F59C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3C9F7DD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1058BC3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3.2.2 转诊至社区/家庭标准：生命体征平稳，临床指标稳定，无急性并发症，仅需维持性康复训练。</w:t>
            </w:r>
          </w:p>
        </w:tc>
      </w:tr>
      <w:tr w14:paraId="02044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bottom w:val="nil"/>
              <w:right w:val="nil"/>
            </w:tcBorders>
            <w:shd w:val="clear" w:color="auto" w:fill="FFFFFF"/>
            <w:vAlign w:val="top"/>
          </w:tcPr>
          <w:p w14:paraId="598F09E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137FBE2B">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7229CD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3.2.3 转回综合医院标准：出现新发或加重严重病情、意识水平下降、多器官功能不全、严重精神行为异常等。</w:t>
            </w:r>
          </w:p>
        </w:tc>
      </w:tr>
      <w:tr w14:paraId="350E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4DC4A19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 规范治疗</w:t>
            </w:r>
          </w:p>
        </w:tc>
        <w:tc>
          <w:tcPr>
            <w:tcW w:w="1489" w:type="pct"/>
            <w:vMerge w:val="restart"/>
            <w:tcBorders>
              <w:top w:val="nil"/>
              <w:left w:val="nil"/>
              <w:bottom w:val="nil"/>
              <w:right w:val="nil"/>
            </w:tcBorders>
            <w:shd w:val="clear" w:color="auto" w:fill="FFFFFF"/>
            <w:vAlign w:val="top"/>
          </w:tcPr>
          <w:p w14:paraId="1EBF5D5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 急性期治疗性康复介入</w:t>
            </w:r>
          </w:p>
        </w:tc>
        <w:tc>
          <w:tcPr>
            <w:tcW w:w="2307" w:type="pct"/>
            <w:tcBorders>
              <w:top w:val="nil"/>
              <w:left w:val="nil"/>
              <w:bottom w:val="nil"/>
              <w:right w:val="nil"/>
            </w:tcBorders>
            <w:shd w:val="clear" w:color="auto" w:fill="FFFFFF"/>
            <w:vAlign w:val="top"/>
          </w:tcPr>
          <w:p w14:paraId="50D908E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4.1.1 介入时机：生命体征及神经症状稳定后尽早启动，适宜时间为发病后12至48小时，持续至急性期（发病后14天内）。</w:t>
            </w:r>
          </w:p>
        </w:tc>
      </w:tr>
      <w:tr w14:paraId="2EA2F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bottom w:val="nil"/>
              <w:right w:val="nil"/>
            </w:tcBorders>
            <w:shd w:val="clear" w:color="auto" w:fill="FFFFFF"/>
            <w:vAlign w:val="top"/>
          </w:tcPr>
          <w:p w14:paraId="173EBC5F">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1D5C7A4">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4265ADB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4.1.2 介入内容：系统性包含基础功能支持、肢体功能维护、认知/吞咽/言语功能评估、运动感觉功能干预、并发症预防、心理状态关注等。</w:t>
            </w:r>
          </w:p>
        </w:tc>
      </w:tr>
      <w:tr w14:paraId="19A93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27DFBBE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 功能康复</w:t>
            </w:r>
          </w:p>
        </w:tc>
        <w:tc>
          <w:tcPr>
            <w:tcW w:w="1489" w:type="pct"/>
            <w:vMerge w:val="restart"/>
            <w:tcBorders>
              <w:top w:val="nil"/>
              <w:left w:val="nil"/>
              <w:bottom w:val="nil"/>
              <w:right w:val="nil"/>
            </w:tcBorders>
            <w:shd w:val="clear" w:color="auto" w:fill="FFFFFF"/>
            <w:vAlign w:val="top"/>
          </w:tcPr>
          <w:p w14:paraId="46CED28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 恢复期康复管理</w:t>
            </w:r>
          </w:p>
        </w:tc>
        <w:tc>
          <w:tcPr>
            <w:tcW w:w="2307" w:type="pct"/>
            <w:tcBorders>
              <w:top w:val="nil"/>
              <w:left w:val="nil"/>
              <w:bottom w:val="nil"/>
              <w:right w:val="nil"/>
            </w:tcBorders>
            <w:shd w:val="clear" w:color="auto" w:fill="FFFFFF"/>
            <w:vAlign w:val="top"/>
          </w:tcPr>
          <w:p w14:paraId="21B3874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5.1.1 标准化康复流程：包括初期评定、专业评定、计划制定与实施、定期再评估与转介。</w:t>
            </w:r>
          </w:p>
        </w:tc>
      </w:tr>
      <w:tr w14:paraId="2F10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3DC3DFF6">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B33585C">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63ABEC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5.1.2 主要康复训练内容：聚焦功能性恢复与日常生活活动能力，包括平衡、转移、步行、ADL训练、辅助器具使用等。</w:t>
            </w:r>
          </w:p>
        </w:tc>
      </w:tr>
      <w:tr w14:paraId="4B4FA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018C573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2F2CB42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 社区与家庭康复管理</w:t>
            </w:r>
          </w:p>
        </w:tc>
        <w:tc>
          <w:tcPr>
            <w:tcW w:w="2307" w:type="pct"/>
            <w:tcBorders>
              <w:top w:val="nil"/>
              <w:left w:val="nil"/>
              <w:bottom w:val="nil"/>
              <w:right w:val="nil"/>
            </w:tcBorders>
            <w:shd w:val="clear" w:color="auto" w:fill="FFFFFF"/>
            <w:vAlign w:val="top"/>
          </w:tcPr>
          <w:p w14:paraId="3F97D54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5.2.1 职责与衔接：明确上级康复医师、社区康复医师及家庭康复指导的职责与工作衔接要求。</w:t>
            </w:r>
          </w:p>
        </w:tc>
      </w:tr>
      <w:tr w14:paraId="118A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52D3129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5901097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41FB09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5.2.2 康复要点：重点关注居家环境改造、长期心理支持、ADL能力维持、移动辅具使用、康复工程产品应用等。</w:t>
            </w:r>
          </w:p>
        </w:tc>
      </w:tr>
      <w:tr w14:paraId="6EF08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73E8FB2C">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18293FC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 专项康复治疗</w:t>
            </w:r>
          </w:p>
        </w:tc>
        <w:tc>
          <w:tcPr>
            <w:tcW w:w="2307" w:type="pct"/>
            <w:tcBorders>
              <w:top w:val="nil"/>
              <w:left w:val="nil"/>
              <w:bottom w:val="nil"/>
              <w:right w:val="nil"/>
            </w:tcBorders>
            <w:shd w:val="clear" w:color="auto" w:fill="FFFFFF"/>
            <w:vAlign w:val="top"/>
          </w:tcPr>
          <w:p w14:paraId="249E0B0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5.3.1 物理治疗：包括急性期良肢位摆放、关节活动度维持、体位适应性训练、恢复期运动控制与步行训练等。</w:t>
            </w:r>
          </w:p>
        </w:tc>
      </w:tr>
      <w:tr w14:paraId="0B95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right w:val="nil"/>
            </w:tcBorders>
            <w:shd w:val="clear" w:color="auto" w:fill="FFFFFF"/>
            <w:vAlign w:val="top"/>
          </w:tcPr>
          <w:p w14:paraId="1B37BA55">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39D84DF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3B5A35B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5.3.2 作业治疗：包括作业性手功能训练、精细动作训练、日常生活活动能力训练。</w:t>
            </w:r>
          </w:p>
        </w:tc>
      </w:tr>
      <w:tr w14:paraId="44126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bottom w:val="nil"/>
              <w:right w:val="nil"/>
            </w:tcBorders>
            <w:shd w:val="clear" w:color="auto" w:fill="FFFFFF"/>
            <w:vAlign w:val="top"/>
          </w:tcPr>
          <w:p w14:paraId="35BAC833">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885AC58">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64E6EE6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5.3.3 言语治疗：针对语言/言语障碍及吞咽障碍进行评估与治疗。</w:t>
            </w:r>
          </w:p>
        </w:tc>
      </w:tr>
      <w:tr w14:paraId="61D1B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29CBAFC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 长期护理</w:t>
            </w:r>
          </w:p>
        </w:tc>
        <w:tc>
          <w:tcPr>
            <w:tcW w:w="1489" w:type="pct"/>
            <w:tcBorders>
              <w:top w:val="nil"/>
              <w:left w:val="nil"/>
              <w:bottom w:val="nil"/>
              <w:right w:val="nil"/>
            </w:tcBorders>
            <w:shd w:val="clear" w:color="auto" w:fill="FFFFFF"/>
            <w:vAlign w:val="top"/>
          </w:tcPr>
          <w:p w14:paraId="4C86664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 康复护理原则与实施</w:t>
            </w:r>
          </w:p>
        </w:tc>
        <w:tc>
          <w:tcPr>
            <w:tcW w:w="2307" w:type="pct"/>
            <w:tcBorders>
              <w:top w:val="nil"/>
              <w:left w:val="nil"/>
              <w:bottom w:val="nil"/>
              <w:right w:val="nil"/>
            </w:tcBorders>
            <w:shd w:val="clear" w:color="auto" w:fill="FFFFFF"/>
            <w:vAlign w:val="top"/>
          </w:tcPr>
          <w:p w14:paraId="00F6AA6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6.1.1 康复护理核心理念：遵循促进自我护理、实施协同护理、贯穿功能性训练的原则。</w:t>
            </w:r>
          </w:p>
        </w:tc>
      </w:tr>
      <w:tr w14:paraId="70E4C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5DB12928">
            <w:pPr>
              <w:jc w:val="both"/>
              <w:outlineLvl w:val="9"/>
              <w:rPr>
                <w:rFonts w:hint="default" w:ascii="Times New Roman" w:hAnsi="Times New Roman" w:eastAsia="宋体" w:cs="Times New Roman"/>
                <w:b w:val="0"/>
                <w:i w:val="0"/>
                <w:iCs w:val="0"/>
                <w:color w:val="000000"/>
                <w:sz w:val="21"/>
                <w:szCs w:val="21"/>
                <w:u w:val="none"/>
              </w:rPr>
            </w:pPr>
          </w:p>
        </w:tc>
        <w:tc>
          <w:tcPr>
            <w:tcW w:w="1489" w:type="pct"/>
            <w:tcBorders>
              <w:top w:val="nil"/>
              <w:left w:val="nil"/>
              <w:bottom w:val="nil"/>
              <w:right w:val="nil"/>
            </w:tcBorders>
            <w:shd w:val="clear" w:color="auto" w:fill="FFFFFF"/>
            <w:vAlign w:val="top"/>
          </w:tcPr>
          <w:p w14:paraId="7F36F3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 系统化健康教育</w:t>
            </w:r>
          </w:p>
        </w:tc>
        <w:tc>
          <w:tcPr>
            <w:tcW w:w="2307" w:type="pct"/>
            <w:tcBorders>
              <w:top w:val="nil"/>
              <w:left w:val="nil"/>
              <w:bottom w:val="nil"/>
              <w:right w:val="nil"/>
            </w:tcBorders>
            <w:shd w:val="clear" w:color="auto" w:fill="FFFFFF"/>
            <w:vAlign w:val="top"/>
          </w:tcPr>
          <w:p w14:paraId="3D461BF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6.2.1 健康教育实施要点：教育应贯穿全程、内容全面准确、形式多样、个体化、聚焦自我管理、强化理解记忆、持续督导。</w:t>
            </w:r>
          </w:p>
        </w:tc>
      </w:tr>
      <w:tr w14:paraId="319E3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403C0616">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381121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 专业化康复监护</w:t>
            </w:r>
          </w:p>
        </w:tc>
        <w:tc>
          <w:tcPr>
            <w:tcW w:w="2307" w:type="pct"/>
            <w:tcBorders>
              <w:top w:val="nil"/>
              <w:left w:val="nil"/>
              <w:bottom w:val="nil"/>
              <w:right w:val="nil"/>
            </w:tcBorders>
            <w:shd w:val="clear" w:color="auto" w:fill="FFFFFF"/>
            <w:vAlign w:val="top"/>
          </w:tcPr>
          <w:p w14:paraId="6E6EB12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6.3.1 基础生命体征监护：包括体温、脉搏与心率、呼吸、血压、瞳孔、意识、颅内压的规范监测与干预。</w:t>
            </w:r>
          </w:p>
        </w:tc>
      </w:tr>
      <w:tr w14:paraId="1893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1" w:hRule="atLeast"/>
        </w:trPr>
        <w:tc>
          <w:tcPr>
            <w:tcW w:w="1202" w:type="pct"/>
            <w:vMerge w:val="continue"/>
            <w:tcBorders>
              <w:left w:val="nil"/>
              <w:bottom w:val="single" w:color="000000" w:sz="12" w:space="0"/>
              <w:right w:val="nil"/>
            </w:tcBorders>
            <w:shd w:val="clear" w:color="auto" w:fill="FFFFFF"/>
            <w:vAlign w:val="top"/>
          </w:tcPr>
          <w:p w14:paraId="2F16854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single" w:color="000000" w:sz="12" w:space="0"/>
              <w:right w:val="nil"/>
            </w:tcBorders>
            <w:shd w:val="clear" w:color="auto" w:fill="FFFFFF"/>
            <w:vAlign w:val="top"/>
          </w:tcPr>
          <w:p w14:paraId="38C791C3">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single" w:color="000000" w:sz="12" w:space="0"/>
              <w:right w:val="nil"/>
            </w:tcBorders>
            <w:shd w:val="clear" w:color="auto" w:fill="FFFFFF"/>
            <w:vAlign w:val="top"/>
          </w:tcPr>
          <w:p w14:paraId="710F59B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6.3.2 功能与并发症监护：包括压疮风险评估与处理、功能评估（如Barthel指数）、吞咽障碍护理、语言障碍护理、排泄障碍护理等。</w:t>
            </w:r>
          </w:p>
        </w:tc>
      </w:tr>
    </w:tbl>
    <w:p w14:paraId="2AA47741">
      <w:pPr>
        <w:pStyle w:val="10"/>
        <w:spacing w:line="360" w:lineRule="auto"/>
        <w:ind w:left="0" w:leftChars="0" w:firstLine="0" w:firstLineChars="0"/>
        <w:outlineLvl w:val="9"/>
        <w:rPr>
          <w:rFonts w:ascii="Times New Roman"/>
        </w:rPr>
      </w:pPr>
    </w:p>
    <w:p w14:paraId="140A39BF">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4 高血压服务技术分级建设规范编制    </w:t>
      </w:r>
    </w:p>
    <w:p w14:paraId="0167BB9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4.1 描述  </w:t>
      </w:r>
    </w:p>
    <w:p w14:paraId="69E2DEA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高血压服务技术分级建设规范旨在构建一套系统化、结构化、可操作性强的技术实施框架，以支撑慢性病“防、筛、管、治、康、护”全链条服务的规范开展。本规范通过将服务技术划分为一级、二级、三级，明确各层级技术的功能定位、内容构成与衔接关系，旨在为各级各类服务机构提供清晰的技术实施路径与质量评价依据，推动高血压防治服务的标准化、同质化与连续性。</w:t>
      </w:r>
    </w:p>
    <w:p w14:paraId="3EB70170">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4.2.1 一级技术</w:t>
      </w:r>
    </w:p>
    <w:p w14:paraId="59E8AED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设置6个一级技术模块：预防干预、早期筛查、分级管理、规范治疗、功能康复、长期护理。该框架体现了从人群策略到个体化管理、从诊断治疗到生活方式长期维持的完整闭环。</w:t>
      </w:r>
    </w:p>
    <w:p w14:paraId="3BEAF0D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4.2.2 二级技术</w:t>
      </w:r>
    </w:p>
    <w:p w14:paraId="1F8837E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在一级技术模块下，共设置20个二级技术节点，细化管理环节与干预策略。包括全民健康促进、重点人群风险干预、高危人群精准防控、常规筛查与初诊、高危人群强化筛查、筛查流程、随访评估、分类干预与转诊、年度综合评估、诊断标准、治疗原则、治疗目标、治疗方法、转诊指征、治疗随访、血压控制指标、生活方式干预、药物治疗依从性管理、居家生活照护、用药安全监护、血压规范监测、急症识别与应对。</w:t>
      </w:r>
    </w:p>
    <w:p w14:paraId="5382A8D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4.2.3 三级技术</w:t>
      </w:r>
    </w:p>
    <w:p w14:paraId="765DDF1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高血压服务共包括47个三级技术，是对二级技术的进一步分解和循证化，是服务提供者可直接执行或参照的技术内容。具体内容见表4。 </w:t>
      </w:r>
    </w:p>
    <w:p w14:paraId="7EBF5E55">
      <w:pPr>
        <w:pStyle w:val="10"/>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w:t>
      </w:r>
      <w:r>
        <w:rPr>
          <w:rFonts w:hint="eastAsia" w:ascii="Times New Roman"/>
          <w:b/>
          <w:bCs/>
          <w:lang w:val="en-US" w:eastAsia="zh-CN"/>
        </w:rPr>
        <w:t>4</w:t>
      </w:r>
      <w:r>
        <w:rPr>
          <w:rFonts w:hint="eastAsia" w:ascii="Times New Roman"/>
          <w:b/>
          <w:bCs/>
        </w:rPr>
        <w:t xml:space="preserve">  </w:t>
      </w:r>
      <w:r>
        <w:rPr>
          <w:rFonts w:hint="eastAsia" w:ascii="Times New Roman"/>
          <w:b/>
          <w:bCs/>
          <w:lang w:val="en-US" w:eastAsia="zh-CN"/>
        </w:rPr>
        <w:t>高血压“防、筛、管、治、康、护”服务技术标准体系</w:t>
      </w:r>
    </w:p>
    <w:tbl>
      <w:tblPr>
        <w:tblStyle w:val="5"/>
        <w:tblW w:w="515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52"/>
        <w:gridCol w:w="2338"/>
        <w:gridCol w:w="5388"/>
      </w:tblGrid>
      <w:tr w14:paraId="3FDF9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67" w:type="pct"/>
            <w:tcBorders>
              <w:top w:val="single" w:color="000000" w:sz="12" w:space="0"/>
              <w:left w:val="nil"/>
              <w:bottom w:val="single" w:color="000000" w:sz="4" w:space="0"/>
              <w:right w:val="nil"/>
              <w:tl2br w:val="nil"/>
            </w:tcBorders>
            <w:shd w:val="clear" w:color="auto" w:fill="FFFFFF"/>
            <w:vAlign w:val="top"/>
          </w:tcPr>
          <w:p w14:paraId="017DBA7F">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一级技术</w:t>
            </w:r>
          </w:p>
        </w:tc>
        <w:tc>
          <w:tcPr>
            <w:tcW w:w="1220" w:type="pct"/>
            <w:tcBorders>
              <w:top w:val="single" w:color="000000" w:sz="12" w:space="0"/>
              <w:left w:val="nil"/>
              <w:bottom w:val="single" w:color="000000" w:sz="4" w:space="0"/>
              <w:right w:val="nil"/>
            </w:tcBorders>
            <w:shd w:val="clear" w:color="auto" w:fill="FFFFFF"/>
            <w:vAlign w:val="top"/>
          </w:tcPr>
          <w:p w14:paraId="5ABBEAD2">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812" w:type="pct"/>
            <w:tcBorders>
              <w:top w:val="single" w:color="000000" w:sz="12" w:space="0"/>
              <w:left w:val="nil"/>
              <w:bottom w:val="single" w:color="000000" w:sz="4" w:space="0"/>
              <w:right w:val="nil"/>
            </w:tcBorders>
            <w:shd w:val="clear" w:color="auto" w:fill="FFFFFF"/>
            <w:vAlign w:val="top"/>
          </w:tcPr>
          <w:p w14:paraId="0703E62F">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3433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967" w:type="pct"/>
            <w:vMerge w:val="restart"/>
            <w:tcBorders>
              <w:top w:val="single" w:color="000000" w:sz="4" w:space="0"/>
              <w:left w:val="nil"/>
              <w:bottom w:val="nil"/>
              <w:right w:val="nil"/>
            </w:tcBorders>
            <w:shd w:val="clear" w:color="auto" w:fill="FFFFFF"/>
            <w:vAlign w:val="top"/>
          </w:tcPr>
          <w:p w14:paraId="33E514F5">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 预防干预</w:t>
            </w:r>
          </w:p>
        </w:tc>
        <w:tc>
          <w:tcPr>
            <w:tcW w:w="1220" w:type="pct"/>
            <w:vMerge w:val="restart"/>
            <w:tcBorders>
              <w:top w:val="single" w:color="000000" w:sz="4" w:space="0"/>
              <w:left w:val="nil"/>
              <w:bottom w:val="nil"/>
              <w:right w:val="nil"/>
            </w:tcBorders>
            <w:shd w:val="clear" w:color="auto" w:fill="FFFFFF"/>
            <w:vAlign w:val="top"/>
          </w:tcPr>
          <w:p w14:paraId="2BAF6AC0">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1.1 </w:t>
            </w:r>
            <w:r>
              <w:rPr>
                <w:rFonts w:hint="eastAsia" w:ascii="宋体" w:hAnsi="宋体" w:eastAsia="宋体" w:cs="宋体"/>
                <w:sz w:val="21"/>
                <w:szCs w:val="21"/>
              </w:rPr>
              <w:t>全民健康促进</w:t>
            </w:r>
          </w:p>
        </w:tc>
        <w:tc>
          <w:tcPr>
            <w:tcW w:w="2812" w:type="pct"/>
            <w:tcBorders>
              <w:top w:val="single" w:color="000000" w:sz="4" w:space="0"/>
              <w:left w:val="nil"/>
              <w:bottom w:val="nil"/>
              <w:right w:val="nil"/>
            </w:tcBorders>
            <w:shd w:val="clear" w:color="auto" w:fill="FFFFFF"/>
            <w:vAlign w:val="top"/>
          </w:tcPr>
          <w:p w14:paraId="5EE99DC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1.1.1 健康生活方式倡导：倡导健康生活方式，重点控制钠盐摄入与体重管理。</w:t>
            </w:r>
          </w:p>
        </w:tc>
      </w:tr>
      <w:tr w14:paraId="1D0E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3480CB7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CD3A573">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B79CB88">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1.1.2 早期发现与筛查：推动高血压、糖尿病、血脂异常等疾病的早期发现与系统筛查。</w:t>
            </w:r>
          </w:p>
        </w:tc>
      </w:tr>
      <w:tr w14:paraId="61695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405B209E">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7510F9D0">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F24BBE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1.1.3 全社会健康教育：在公共卫生委员会协调下，实施“三高共管”主题宣传，利用新媒体、网络直播、公益广告等多种宣教方式。</w:t>
            </w:r>
          </w:p>
        </w:tc>
      </w:tr>
      <w:tr w14:paraId="71DBC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077F7399">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67DF0CE">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5CC1A50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1.1.4 居民健康管理体系完善：通过多部门协作，推行网格化、契约化、智能化健康管理。</w:t>
            </w:r>
          </w:p>
        </w:tc>
      </w:tr>
      <w:tr w14:paraId="1277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410C4829">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BC31789">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A5EE96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1.1.5 场所化干预：针对行政区域、医疗机构、居民社区、工作场所及学校五类场所特点制定并落实干预计划。</w:t>
            </w:r>
          </w:p>
        </w:tc>
      </w:tr>
      <w:tr w14:paraId="44B46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45CE0D33">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3B104DC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1.2 </w:t>
            </w:r>
            <w:r>
              <w:rPr>
                <w:rFonts w:hint="eastAsia" w:ascii="宋体" w:hAnsi="宋体" w:eastAsia="宋体" w:cs="宋体"/>
                <w:sz w:val="21"/>
                <w:szCs w:val="21"/>
              </w:rPr>
              <w:t>重点人群风险干预</w:t>
            </w:r>
          </w:p>
        </w:tc>
        <w:tc>
          <w:tcPr>
            <w:tcW w:w="2812" w:type="pct"/>
            <w:tcBorders>
              <w:top w:val="nil"/>
              <w:left w:val="nil"/>
              <w:bottom w:val="nil"/>
              <w:right w:val="nil"/>
            </w:tcBorders>
            <w:shd w:val="clear" w:color="auto" w:fill="FFFFFF"/>
            <w:vAlign w:val="top"/>
          </w:tcPr>
          <w:p w14:paraId="40B4EA6D">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1.2.1 易患人群识别：识别血压正常高值、超重/肥胖、长期过量饮酒、高血压家族史、高钠盐饮食、年龄&gt;55岁或更年期女性等指标。</w:t>
            </w:r>
          </w:p>
        </w:tc>
      </w:tr>
      <w:tr w14:paraId="55555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29EC114">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516BC1E">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2AEA050">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1.2.2 定期血压测量：每年至少进行一次血压测量，鼓励家庭自测，筛查结合日常诊疗、体检、年度检查及自助检测点进行。</w:t>
            </w:r>
          </w:p>
        </w:tc>
      </w:tr>
      <w:tr w14:paraId="66CF1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967" w:type="pct"/>
            <w:vMerge w:val="continue"/>
            <w:tcBorders>
              <w:top w:val="nil"/>
              <w:left w:val="nil"/>
              <w:bottom w:val="nil"/>
              <w:right w:val="nil"/>
            </w:tcBorders>
            <w:shd w:val="clear" w:color="auto" w:fill="FFFFFF"/>
            <w:vAlign w:val="top"/>
          </w:tcPr>
          <w:p w14:paraId="46C98E1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B2C9000">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7BB22DF">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1.2.3 健康体检与干预：体检内容涵盖问诊、身高、体重、血压、尿常规、血糖、血脂、肾功能和心电图；实施风险因素控制与定期随访，提供针对性生活方式指导。</w:t>
            </w:r>
          </w:p>
        </w:tc>
      </w:tr>
      <w:tr w14:paraId="2DEE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967" w:type="pct"/>
            <w:vMerge w:val="continue"/>
            <w:tcBorders>
              <w:top w:val="nil"/>
              <w:left w:val="nil"/>
              <w:bottom w:val="nil"/>
              <w:right w:val="nil"/>
            </w:tcBorders>
            <w:shd w:val="clear" w:color="auto" w:fill="FFFFFF"/>
            <w:vAlign w:val="top"/>
          </w:tcPr>
          <w:p w14:paraId="14DA6E97">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629C8B0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1.3 </w:t>
            </w:r>
            <w:r>
              <w:rPr>
                <w:rFonts w:hint="eastAsia" w:ascii="宋体" w:hAnsi="宋体" w:eastAsia="宋体" w:cs="宋体"/>
                <w:sz w:val="21"/>
                <w:szCs w:val="21"/>
              </w:rPr>
              <w:t>高危人群精准防控</w:t>
            </w:r>
          </w:p>
        </w:tc>
        <w:tc>
          <w:tcPr>
            <w:tcW w:w="2812" w:type="pct"/>
            <w:tcBorders>
              <w:top w:val="nil"/>
              <w:left w:val="nil"/>
              <w:bottom w:val="nil"/>
              <w:right w:val="nil"/>
            </w:tcBorders>
            <w:shd w:val="clear" w:color="auto" w:fill="FFFFFF"/>
            <w:vAlign w:val="top"/>
          </w:tcPr>
          <w:p w14:paraId="16DA2939">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1.3.1 危险分层识别：依据危险分层识别高危与极高危个体。</w:t>
            </w:r>
          </w:p>
        </w:tc>
      </w:tr>
      <w:tr w14:paraId="0EE9C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55DA30C5">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1592656">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C9AB2E9">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1.3.2 定期健康评估：每半年进行一次，内容包括问诊、身高、体重、腰围、血压、心率、尿蛋白/肌酐比值、血糖、血脂、尿酸、肾功能和心电图。</w:t>
            </w:r>
          </w:p>
        </w:tc>
      </w:tr>
      <w:tr w14:paraId="3A59B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0D56061">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2229294">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5BAEF718">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1.3.3 个体化干预方案：根据危险分层制定方案，必要时予以抗血小板、抗凝或他汀类药物治疗，并达标管理。</w:t>
            </w:r>
          </w:p>
        </w:tc>
      </w:tr>
      <w:tr w14:paraId="11A80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6BB9C41B">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0752F62">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4BAD5D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1.3.4 定期随访与转诊：对高危个体实行定期随访与生活方式干预；如病情控制不佳，及时转诊至上级医疗机构。</w:t>
            </w:r>
          </w:p>
        </w:tc>
      </w:tr>
      <w:tr w14:paraId="326B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restart"/>
            <w:tcBorders>
              <w:top w:val="nil"/>
              <w:left w:val="nil"/>
              <w:bottom w:val="nil"/>
              <w:right w:val="nil"/>
            </w:tcBorders>
            <w:shd w:val="clear" w:color="auto" w:fill="FFFFFF"/>
            <w:vAlign w:val="top"/>
          </w:tcPr>
          <w:p w14:paraId="7D01605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 早期筛查</w:t>
            </w:r>
          </w:p>
        </w:tc>
        <w:tc>
          <w:tcPr>
            <w:tcW w:w="1220" w:type="pct"/>
            <w:vMerge w:val="restart"/>
            <w:tcBorders>
              <w:top w:val="nil"/>
              <w:left w:val="nil"/>
              <w:bottom w:val="nil"/>
              <w:right w:val="nil"/>
            </w:tcBorders>
            <w:shd w:val="clear" w:color="auto" w:fill="FFFFFF"/>
            <w:vAlign w:val="top"/>
          </w:tcPr>
          <w:p w14:paraId="5486E23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2.1 </w:t>
            </w:r>
            <w:r>
              <w:rPr>
                <w:rFonts w:hint="eastAsia" w:ascii="宋体" w:hAnsi="宋体" w:eastAsia="宋体" w:cs="宋体"/>
                <w:sz w:val="21"/>
                <w:szCs w:val="21"/>
              </w:rPr>
              <w:t>常规筛查与初诊</w:t>
            </w:r>
          </w:p>
        </w:tc>
        <w:tc>
          <w:tcPr>
            <w:tcW w:w="2812" w:type="pct"/>
            <w:tcBorders>
              <w:top w:val="nil"/>
              <w:left w:val="nil"/>
              <w:bottom w:val="nil"/>
              <w:right w:val="nil"/>
            </w:tcBorders>
            <w:shd w:val="clear" w:color="auto" w:fill="FFFFFF"/>
            <w:vAlign w:val="top"/>
          </w:tcPr>
          <w:p w14:paraId="4E020ADD">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2.1.1 常规筛查：对辖区内35岁及以上常住居民，每年至少接受一次血压测量服务（非同日三次测量值作为基准）。</w:t>
            </w:r>
          </w:p>
        </w:tc>
      </w:tr>
      <w:tr w14:paraId="40DC8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967" w:type="pct"/>
            <w:vMerge w:val="continue"/>
            <w:tcBorders>
              <w:top w:val="nil"/>
              <w:left w:val="nil"/>
              <w:bottom w:val="nil"/>
              <w:right w:val="nil"/>
            </w:tcBorders>
            <w:shd w:val="clear" w:color="auto" w:fill="FFFFFF"/>
            <w:vAlign w:val="top"/>
          </w:tcPr>
          <w:p w14:paraId="11635943">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9AB1479">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37C3A568">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2.1.2 初步诊断与转诊：首次检出血压升高者，经非同日三次复测均高可作初步诊断，并在2周内转诊至上级医疗机构确诊。确诊者纳入管理，疑似继发性高血压者及时转诊。</w:t>
            </w:r>
          </w:p>
        </w:tc>
      </w:tr>
      <w:tr w14:paraId="61D26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967" w:type="pct"/>
            <w:vMerge w:val="continue"/>
            <w:tcBorders>
              <w:top w:val="nil"/>
              <w:left w:val="nil"/>
              <w:bottom w:val="nil"/>
              <w:right w:val="nil"/>
            </w:tcBorders>
            <w:shd w:val="clear" w:color="auto" w:fill="FFFFFF"/>
            <w:vAlign w:val="top"/>
          </w:tcPr>
          <w:p w14:paraId="367A3D7B">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71249DBD">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2.2 高危人群强化筛查</w:t>
            </w:r>
          </w:p>
        </w:tc>
        <w:tc>
          <w:tcPr>
            <w:tcW w:w="2812" w:type="pct"/>
            <w:tcBorders>
              <w:top w:val="nil"/>
              <w:left w:val="nil"/>
              <w:bottom w:val="nil"/>
              <w:right w:val="nil"/>
            </w:tcBorders>
            <w:shd w:val="clear" w:color="auto" w:fill="FFFFFF"/>
            <w:vAlign w:val="top"/>
          </w:tcPr>
          <w:p w14:paraId="223AD737">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2.2.1 高危因素界定与强化筛查：对血压高值、超重/肥胖、高血压家族史、高钠盐饮食、长期过量饮酒、年龄≥55岁者，筛查频率提高至每半年至少一次，并接受专业生活方式干预指导。</w:t>
            </w:r>
          </w:p>
        </w:tc>
      </w:tr>
      <w:tr w14:paraId="1E32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1F1ABD7F">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20E32DEE">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2.3 筛查流程</w:t>
            </w:r>
          </w:p>
        </w:tc>
        <w:tc>
          <w:tcPr>
            <w:tcW w:w="2812" w:type="pct"/>
            <w:tcBorders>
              <w:top w:val="nil"/>
              <w:left w:val="nil"/>
              <w:bottom w:val="nil"/>
              <w:right w:val="nil"/>
            </w:tcBorders>
            <w:shd w:val="clear" w:color="auto" w:fill="FFFFFF"/>
            <w:vAlign w:val="top"/>
          </w:tcPr>
          <w:p w14:paraId="0D2FFD82">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2.3.1 标准化筛查流程：执行标准化的高血压筛查流程图，规范从初筛、复测到转诊的完整流程。</w:t>
            </w:r>
          </w:p>
        </w:tc>
      </w:tr>
      <w:tr w14:paraId="4A09A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967" w:type="pct"/>
            <w:vMerge w:val="restart"/>
            <w:tcBorders>
              <w:top w:val="nil"/>
              <w:left w:val="nil"/>
              <w:bottom w:val="nil"/>
              <w:right w:val="nil"/>
            </w:tcBorders>
            <w:shd w:val="clear" w:color="auto" w:fill="FFFFFF"/>
            <w:vAlign w:val="top"/>
          </w:tcPr>
          <w:p w14:paraId="6FD1667E">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 分级管理</w:t>
            </w:r>
          </w:p>
        </w:tc>
        <w:tc>
          <w:tcPr>
            <w:tcW w:w="1220" w:type="pct"/>
            <w:vMerge w:val="restart"/>
            <w:tcBorders>
              <w:top w:val="nil"/>
              <w:left w:val="nil"/>
              <w:bottom w:val="nil"/>
              <w:right w:val="nil"/>
            </w:tcBorders>
            <w:shd w:val="clear" w:color="auto" w:fill="FFFFFF"/>
            <w:vAlign w:val="top"/>
          </w:tcPr>
          <w:p w14:paraId="310F7B9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3.1 随访评估</w:t>
            </w:r>
          </w:p>
        </w:tc>
        <w:tc>
          <w:tcPr>
            <w:tcW w:w="2812" w:type="pct"/>
            <w:tcBorders>
              <w:top w:val="nil"/>
              <w:left w:val="nil"/>
              <w:bottom w:val="nil"/>
              <w:right w:val="nil"/>
            </w:tcBorders>
            <w:shd w:val="clear" w:color="auto" w:fill="FFFFFF"/>
            <w:vAlign w:val="top"/>
          </w:tcPr>
          <w:p w14:paraId="0B850055">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3.1.1 定期面对面随访：对确诊的原发性高血压患者，每年提供不少于4次面对面随访。</w:t>
            </w:r>
          </w:p>
        </w:tc>
      </w:tr>
      <w:tr w14:paraId="17CB9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4BCA902F">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262FB79">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BAEE9B1">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3.1.2 随访内容规范：每次随访包括血压测量与危急情况评估、症状问询、体征测量（体重、心率、BMI）、健康状况与生活方式评估、用药情况核查。</w:t>
            </w:r>
          </w:p>
        </w:tc>
      </w:tr>
      <w:tr w14:paraId="33399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967" w:type="pct"/>
            <w:vMerge w:val="continue"/>
            <w:tcBorders>
              <w:top w:val="nil"/>
              <w:left w:val="nil"/>
              <w:bottom w:val="nil"/>
              <w:right w:val="nil"/>
            </w:tcBorders>
            <w:shd w:val="clear" w:color="auto" w:fill="FFFFFF"/>
            <w:vAlign w:val="top"/>
          </w:tcPr>
          <w:p w14:paraId="6535D56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98F79E6">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FAB7A6F">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3.1.3 紧急转诊指征与随访：识别收缩压≥180/110 mmHg、伴严重症状、妊娠/哺乳期血压高、其他急重症等情况并立即转诊，2周内主动随访转诊结果。</w:t>
            </w:r>
          </w:p>
        </w:tc>
      </w:tr>
      <w:tr w14:paraId="4EA0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trPr>
        <w:tc>
          <w:tcPr>
            <w:tcW w:w="967" w:type="pct"/>
            <w:vMerge w:val="continue"/>
            <w:tcBorders>
              <w:top w:val="nil"/>
              <w:left w:val="nil"/>
              <w:bottom w:val="nil"/>
              <w:right w:val="nil"/>
            </w:tcBorders>
            <w:shd w:val="clear" w:color="auto" w:fill="FFFFFF"/>
            <w:vAlign w:val="top"/>
          </w:tcPr>
          <w:p w14:paraId="5F756187">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4728D09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3.2 </w:t>
            </w:r>
            <w:r>
              <w:rPr>
                <w:rFonts w:hint="eastAsia" w:ascii="宋体" w:hAnsi="宋体" w:eastAsia="宋体" w:cs="宋体"/>
                <w:sz w:val="21"/>
                <w:szCs w:val="21"/>
              </w:rPr>
              <w:t>分类干预与转诊</w:t>
            </w:r>
          </w:p>
        </w:tc>
        <w:tc>
          <w:tcPr>
            <w:tcW w:w="2812" w:type="pct"/>
            <w:tcBorders>
              <w:top w:val="nil"/>
              <w:left w:val="nil"/>
              <w:bottom w:val="nil"/>
              <w:right w:val="nil"/>
            </w:tcBorders>
            <w:shd w:val="clear" w:color="auto" w:fill="FFFFFF"/>
            <w:vAlign w:val="top"/>
          </w:tcPr>
          <w:p w14:paraId="42E7D7C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3.2.1 病情稳定者干预：血压控制达标、无不良反应、无新发/加重并发症者，预约下次随访。</w:t>
            </w:r>
          </w:p>
        </w:tc>
      </w:tr>
      <w:tr w14:paraId="55FEA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trPr>
        <w:tc>
          <w:tcPr>
            <w:tcW w:w="967" w:type="pct"/>
            <w:vMerge w:val="continue"/>
            <w:tcBorders>
              <w:top w:val="nil"/>
              <w:left w:val="nil"/>
              <w:bottom w:val="nil"/>
              <w:right w:val="nil"/>
            </w:tcBorders>
            <w:shd w:val="clear" w:color="auto" w:fill="FFFFFF"/>
            <w:vAlign w:val="top"/>
          </w:tcPr>
          <w:p w14:paraId="7CB0B85A">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AAE5AAC">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39E3679">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3.2.2 控制不佳或不良反应者干预：针对服药依从性调整治疗方案，并于2周内随访。</w:t>
            </w:r>
          </w:p>
        </w:tc>
      </w:tr>
      <w:tr w14:paraId="770B9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0CAA14B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9580736">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7FA4307">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3.2.3 持续控制不佳或病情进展者干预：对连续两次血压未达标、不良反应难控、出现新发/加重并发症者，建议转诊并于2周内随访转诊情况。</w:t>
            </w:r>
          </w:p>
        </w:tc>
      </w:tr>
      <w:tr w14:paraId="50865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4506FDAC">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0A88765F">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339BC2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3.2.4 健康教育：每次随访均进行针对性健康教育，共同设定生活方式改善目标，并告知需立即就诊的警示症状。</w:t>
            </w:r>
          </w:p>
        </w:tc>
      </w:tr>
      <w:tr w14:paraId="5324E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06547F18">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535D7E4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3.3 </w:t>
            </w:r>
            <w:r>
              <w:rPr>
                <w:rFonts w:hint="eastAsia" w:ascii="宋体" w:hAnsi="宋体" w:eastAsia="宋体" w:cs="宋体"/>
                <w:sz w:val="21"/>
                <w:szCs w:val="21"/>
              </w:rPr>
              <w:t>年度综合评估</w:t>
            </w:r>
          </w:p>
        </w:tc>
        <w:tc>
          <w:tcPr>
            <w:tcW w:w="2812" w:type="pct"/>
            <w:tcBorders>
              <w:top w:val="nil"/>
              <w:left w:val="nil"/>
              <w:bottom w:val="nil"/>
              <w:right w:val="nil"/>
            </w:tcBorders>
            <w:shd w:val="clear" w:color="auto" w:fill="FFFFFF"/>
            <w:vAlign w:val="top"/>
          </w:tcPr>
          <w:p w14:paraId="471C6E6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3.3.1 全面健康体检：每年进行1次全面健康体检，可与随访结合。内容至少包括一般检查、常规体格检查、功能状态判断。</w:t>
            </w:r>
          </w:p>
        </w:tc>
      </w:tr>
      <w:tr w14:paraId="67C9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trPr>
        <w:tc>
          <w:tcPr>
            <w:tcW w:w="967" w:type="pct"/>
            <w:vMerge w:val="restart"/>
            <w:tcBorders>
              <w:top w:val="nil"/>
              <w:left w:val="nil"/>
              <w:bottom w:val="nil"/>
              <w:right w:val="nil"/>
            </w:tcBorders>
            <w:shd w:val="clear" w:color="auto" w:fill="FFFFFF"/>
            <w:vAlign w:val="top"/>
          </w:tcPr>
          <w:p w14:paraId="59BA448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 规范治疗</w:t>
            </w:r>
          </w:p>
        </w:tc>
        <w:tc>
          <w:tcPr>
            <w:tcW w:w="1220" w:type="pct"/>
            <w:tcBorders>
              <w:top w:val="nil"/>
              <w:left w:val="nil"/>
              <w:bottom w:val="nil"/>
              <w:right w:val="nil"/>
            </w:tcBorders>
            <w:shd w:val="clear" w:color="auto" w:fill="FFFFFF"/>
            <w:vAlign w:val="top"/>
          </w:tcPr>
          <w:p w14:paraId="54ACB4A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4.1 诊断标准</w:t>
            </w:r>
          </w:p>
        </w:tc>
        <w:tc>
          <w:tcPr>
            <w:tcW w:w="2812" w:type="pct"/>
            <w:tcBorders>
              <w:top w:val="nil"/>
              <w:left w:val="nil"/>
              <w:bottom w:val="nil"/>
              <w:right w:val="nil"/>
            </w:tcBorders>
            <w:shd w:val="clear" w:color="auto" w:fill="FFFFFF"/>
            <w:vAlign w:val="top"/>
          </w:tcPr>
          <w:p w14:paraId="41E9A580">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4.1.1 多模式血压诊断阈值：明确诊室血压、家庭血压、动态血压的不同诊断标准与阈值。</w:t>
            </w:r>
          </w:p>
        </w:tc>
      </w:tr>
      <w:tr w14:paraId="30580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67" w:type="pct"/>
            <w:vMerge w:val="continue"/>
            <w:tcBorders>
              <w:top w:val="nil"/>
              <w:left w:val="nil"/>
              <w:bottom w:val="nil"/>
              <w:right w:val="nil"/>
            </w:tcBorders>
            <w:shd w:val="clear" w:color="auto" w:fill="FFFFFF"/>
            <w:vAlign w:val="top"/>
          </w:tcPr>
          <w:p w14:paraId="36BCC951">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2030BEE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 xml:space="preserve">4.2 </w:t>
            </w:r>
            <w:r>
              <w:rPr>
                <w:rFonts w:hint="eastAsia" w:ascii="宋体" w:hAnsi="宋体" w:eastAsia="宋体" w:cs="宋体"/>
                <w:sz w:val="21"/>
                <w:szCs w:val="21"/>
              </w:rPr>
              <w:t>治疗原则</w:t>
            </w:r>
          </w:p>
        </w:tc>
        <w:tc>
          <w:tcPr>
            <w:tcW w:w="2812" w:type="pct"/>
            <w:tcBorders>
              <w:top w:val="nil"/>
              <w:left w:val="nil"/>
              <w:bottom w:val="nil"/>
              <w:right w:val="nil"/>
            </w:tcBorders>
            <w:shd w:val="clear" w:color="auto" w:fill="FFFFFF"/>
            <w:vAlign w:val="top"/>
          </w:tcPr>
          <w:p w14:paraId="0F99B36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4.2.1 基于风险的治疗决策：明确立即启动药物治疗（血压≥160/100 mmHg、中危及以上140-159/90-99 mmHg、高危/很高危正常高值）及先行生活方式干预（低危140-159/90-99 mmHg）的时机。</w:t>
            </w:r>
          </w:p>
        </w:tc>
      </w:tr>
      <w:tr w14:paraId="6456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967" w:type="pct"/>
            <w:vMerge w:val="continue"/>
            <w:tcBorders>
              <w:top w:val="nil"/>
              <w:left w:val="nil"/>
              <w:bottom w:val="nil"/>
              <w:right w:val="nil"/>
            </w:tcBorders>
            <w:shd w:val="clear" w:color="auto" w:fill="FFFFFF"/>
            <w:vAlign w:val="top"/>
          </w:tcPr>
          <w:p w14:paraId="60D46CBD">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2AE60EA5">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4.3 治疗目标</w:t>
            </w:r>
          </w:p>
        </w:tc>
        <w:tc>
          <w:tcPr>
            <w:tcW w:w="2812" w:type="pct"/>
            <w:tcBorders>
              <w:top w:val="nil"/>
              <w:left w:val="nil"/>
              <w:bottom w:val="nil"/>
              <w:right w:val="nil"/>
            </w:tcBorders>
            <w:shd w:val="clear" w:color="auto" w:fill="FFFFFF"/>
            <w:vAlign w:val="top"/>
          </w:tcPr>
          <w:p w14:paraId="175802A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4.3.1 根本目标：降低心、脑、肾及血管并发症和死亡总体风险。</w:t>
            </w:r>
          </w:p>
        </w:tc>
      </w:tr>
      <w:tr w14:paraId="7988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967" w:type="pct"/>
            <w:vMerge w:val="continue"/>
            <w:tcBorders>
              <w:top w:val="nil"/>
              <w:left w:val="nil"/>
              <w:bottom w:val="nil"/>
              <w:right w:val="nil"/>
            </w:tcBorders>
            <w:shd w:val="clear" w:color="auto" w:fill="FFFFFF"/>
            <w:vAlign w:val="top"/>
          </w:tcPr>
          <w:p w14:paraId="6C7ADD55">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8D25589">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EEFB3DD">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4.3.2 诊室血压控制目标：根据不同人群（高危/很高危/合并症患者、一般患者、老年患者）设定个体化血压控制目标。</w:t>
            </w:r>
          </w:p>
        </w:tc>
      </w:tr>
      <w:tr w14:paraId="7E4B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967" w:type="pct"/>
            <w:vMerge w:val="continue"/>
            <w:tcBorders>
              <w:top w:val="nil"/>
              <w:left w:val="nil"/>
              <w:bottom w:val="nil"/>
              <w:right w:val="nil"/>
            </w:tcBorders>
            <w:shd w:val="clear" w:color="auto" w:fill="FFFFFF"/>
            <w:vAlign w:val="top"/>
          </w:tcPr>
          <w:p w14:paraId="6C49B495">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63D2535">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C870A0F">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4.3.3 其他血压监测方式目标：设定家庭血压&lt;135/85 mmHg，24小时动态血压&lt;130/80 mmHg的参考目标。</w:t>
            </w:r>
          </w:p>
        </w:tc>
      </w:tr>
      <w:tr w14:paraId="4CED8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2C8A0C93">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520FC4D1">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4.4 治疗方法</w:t>
            </w:r>
          </w:p>
        </w:tc>
        <w:tc>
          <w:tcPr>
            <w:tcW w:w="2812" w:type="pct"/>
            <w:tcBorders>
              <w:top w:val="nil"/>
              <w:left w:val="nil"/>
              <w:bottom w:val="nil"/>
              <w:right w:val="nil"/>
            </w:tcBorders>
            <w:shd w:val="clear" w:color="auto" w:fill="FFFFFF"/>
            <w:vAlign w:val="top"/>
          </w:tcPr>
          <w:p w14:paraId="79D9F320">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4.4.1 非药物治疗（生活方式干预）：所有患者及正常高值人群均应实施限盐、合理膳食（如DASH饮食）、控制体重、戒烟限酒、规律运动、心理与睡眠管理。</w:t>
            </w:r>
          </w:p>
        </w:tc>
      </w:tr>
      <w:tr w14:paraId="75C5C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967" w:type="pct"/>
            <w:vMerge w:val="continue"/>
            <w:tcBorders>
              <w:top w:val="nil"/>
              <w:left w:val="nil"/>
              <w:bottom w:val="nil"/>
              <w:right w:val="nil"/>
            </w:tcBorders>
            <w:shd w:val="clear" w:color="auto" w:fill="FFFFFF"/>
            <w:vAlign w:val="top"/>
          </w:tcPr>
          <w:p w14:paraId="31F0A925">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8DA0216">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4F2E4D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4.4.2 药物治疗基本原则：遵循风险导向、长效优先、联合治疗（血压≥160/100 mmHg等高危情况）、剂量与服药时间个体化等原则。</w:t>
            </w:r>
          </w:p>
        </w:tc>
      </w:tr>
      <w:tr w14:paraId="44CA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3756E1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B29807B">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FCD4DE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4.4.3 治疗方案选择路径：根据初始血压水平、心血管风险及靶器官损害，遵循单药或联合治疗的规范化路径。</w:t>
            </w:r>
          </w:p>
        </w:tc>
      </w:tr>
      <w:tr w14:paraId="0C1C9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3A2E8EA0">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BA421F1">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F05B719">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4.4.4 中医药应用：结合中医适宜技术（针灸、耳穴等）、传统运动（太极拳、八段锦）及综合调理作为辅助手段。</w:t>
            </w:r>
          </w:p>
        </w:tc>
      </w:tr>
      <w:tr w14:paraId="6F902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6835C7D5">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3442A057">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4.5 转诊指征</w:t>
            </w:r>
          </w:p>
        </w:tc>
        <w:tc>
          <w:tcPr>
            <w:tcW w:w="2812" w:type="pct"/>
            <w:tcBorders>
              <w:top w:val="nil"/>
              <w:left w:val="nil"/>
              <w:bottom w:val="nil"/>
              <w:right w:val="nil"/>
            </w:tcBorders>
            <w:shd w:val="clear" w:color="auto" w:fill="FFFFFF"/>
            <w:vAlign w:val="top"/>
          </w:tcPr>
          <w:p w14:paraId="73AC63F7">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4.5.1 明确转诊情形：出现急骤起病症状严重、疑似继发性高血压、难治性高血压、妊娠期或哺乳期高血压时应及时转诊，并在转诊后2-4周内主动随访结果。</w:t>
            </w:r>
          </w:p>
        </w:tc>
      </w:tr>
      <w:tr w14:paraId="249A4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7" w:hRule="atLeast"/>
        </w:trPr>
        <w:tc>
          <w:tcPr>
            <w:tcW w:w="967" w:type="pct"/>
            <w:vMerge w:val="continue"/>
            <w:tcBorders>
              <w:top w:val="nil"/>
              <w:left w:val="nil"/>
              <w:bottom w:val="nil"/>
              <w:right w:val="nil"/>
            </w:tcBorders>
            <w:shd w:val="clear" w:color="auto" w:fill="FFFFFF"/>
            <w:vAlign w:val="top"/>
          </w:tcPr>
          <w:p w14:paraId="1DD256A3">
            <w:pPr>
              <w:jc w:val="both"/>
              <w:outlineLvl w:val="9"/>
              <w:rPr>
                <w:rFonts w:hint="eastAsia" w:ascii="宋体" w:hAnsi="宋体" w:eastAsia="宋体" w:cs="宋体"/>
                <w:b w:val="0"/>
                <w:i w:val="0"/>
                <w:iCs w:val="0"/>
                <w:color w:val="000000"/>
                <w:sz w:val="21"/>
                <w:szCs w:val="21"/>
                <w:u w:val="none"/>
              </w:rPr>
            </w:pPr>
          </w:p>
        </w:tc>
        <w:tc>
          <w:tcPr>
            <w:tcW w:w="1220" w:type="pct"/>
            <w:vMerge w:val="restart"/>
            <w:tcBorders>
              <w:top w:val="nil"/>
              <w:left w:val="nil"/>
              <w:right w:val="nil"/>
            </w:tcBorders>
            <w:shd w:val="clear" w:color="auto" w:fill="FFFFFF"/>
            <w:vAlign w:val="top"/>
          </w:tcPr>
          <w:p w14:paraId="60AEB3A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4.6 治疗随访</w:t>
            </w:r>
          </w:p>
        </w:tc>
        <w:tc>
          <w:tcPr>
            <w:tcW w:w="2812" w:type="pct"/>
            <w:tcBorders>
              <w:top w:val="nil"/>
              <w:left w:val="nil"/>
              <w:bottom w:val="nil"/>
              <w:right w:val="nil"/>
            </w:tcBorders>
            <w:shd w:val="clear" w:color="auto" w:fill="FFFFFF"/>
            <w:vAlign w:val="top"/>
          </w:tcPr>
          <w:p w14:paraId="6FF46BD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4.6.1 随访目的与内容：评估疗效与安全性，提高依从性，监测靶器官损害。内容包括血压测量、症状询问、服药依从性与不良反应评估、生活方式指导，鼓励家庭血压监测。</w:t>
            </w:r>
          </w:p>
        </w:tc>
      </w:tr>
      <w:tr w14:paraId="0CC15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967" w:type="pct"/>
            <w:vMerge w:val="continue"/>
            <w:tcBorders>
              <w:top w:val="nil"/>
              <w:left w:val="nil"/>
              <w:bottom w:val="nil"/>
              <w:right w:val="nil"/>
            </w:tcBorders>
            <w:shd w:val="clear" w:color="auto" w:fill="FFFFFF"/>
            <w:vAlign w:val="top"/>
          </w:tcPr>
          <w:p w14:paraId="6220B21F">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left w:val="nil"/>
              <w:bottom w:val="nil"/>
              <w:right w:val="nil"/>
            </w:tcBorders>
            <w:shd w:val="clear" w:color="auto" w:fill="FFFFFF"/>
            <w:vAlign w:val="top"/>
          </w:tcPr>
          <w:p w14:paraId="6AC85790">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D337A4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4.6.2 随访间隔：初始或调整方案后前3个月每月1次；达标稳定者每1-3个月1次；未达标者每2-4周1次。应用≥3种药物仍不达标者考虑转专科。</w:t>
            </w:r>
          </w:p>
        </w:tc>
      </w:tr>
      <w:tr w14:paraId="35619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rPr>
        <w:tc>
          <w:tcPr>
            <w:tcW w:w="967" w:type="pct"/>
            <w:vMerge w:val="continue"/>
            <w:tcBorders>
              <w:top w:val="nil"/>
              <w:left w:val="nil"/>
              <w:bottom w:val="nil"/>
              <w:right w:val="nil"/>
            </w:tcBorders>
            <w:shd w:val="clear" w:color="auto" w:fill="FFFFFF"/>
            <w:vAlign w:val="top"/>
          </w:tcPr>
          <w:p w14:paraId="46BFCB3C">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1378D9D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4.7 血压控制指标</w:t>
            </w:r>
          </w:p>
        </w:tc>
        <w:tc>
          <w:tcPr>
            <w:tcW w:w="2812" w:type="pct"/>
            <w:tcBorders>
              <w:top w:val="nil"/>
              <w:left w:val="nil"/>
              <w:bottom w:val="nil"/>
              <w:right w:val="nil"/>
            </w:tcBorders>
            <w:shd w:val="clear" w:color="auto" w:fill="FFFFFF"/>
            <w:vAlign w:val="top"/>
          </w:tcPr>
          <w:p w14:paraId="435CC3E2">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4.7.1 血压控制达标定义：65岁以下患者&lt;140/90 mmHg；65岁及以上患者&lt;150/90 mmHg。</w:t>
            </w:r>
          </w:p>
        </w:tc>
      </w:tr>
      <w:tr w14:paraId="706A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967" w:type="pct"/>
            <w:vMerge w:val="restart"/>
            <w:tcBorders>
              <w:top w:val="nil"/>
              <w:left w:val="nil"/>
              <w:bottom w:val="nil"/>
              <w:right w:val="nil"/>
            </w:tcBorders>
            <w:shd w:val="clear" w:color="auto" w:fill="FFFFFF"/>
            <w:vAlign w:val="top"/>
          </w:tcPr>
          <w:p w14:paraId="6510BA24">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5. 功能康复</w:t>
            </w:r>
          </w:p>
        </w:tc>
        <w:tc>
          <w:tcPr>
            <w:tcW w:w="1220" w:type="pct"/>
            <w:tcBorders>
              <w:top w:val="nil"/>
              <w:left w:val="nil"/>
              <w:bottom w:val="nil"/>
              <w:right w:val="nil"/>
            </w:tcBorders>
            <w:shd w:val="clear" w:color="auto" w:fill="FFFFFF"/>
            <w:vAlign w:val="top"/>
          </w:tcPr>
          <w:p w14:paraId="4B26C6C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lang w:val="en-US"/>
              </w:rPr>
            </w:pPr>
            <w:r>
              <w:rPr>
                <w:rFonts w:hint="eastAsia" w:ascii="宋体" w:hAnsi="宋体" w:eastAsia="宋体" w:cs="宋体"/>
                <w:b w:val="0"/>
                <w:i w:val="0"/>
                <w:iCs w:val="0"/>
                <w:color w:val="000000"/>
                <w:kern w:val="0"/>
                <w:sz w:val="21"/>
                <w:szCs w:val="21"/>
                <w:u w:val="none"/>
                <w:lang w:val="en-US" w:eastAsia="zh-CN" w:bidi="ar"/>
              </w:rPr>
              <w:t>5.1 康复策略与目标</w:t>
            </w:r>
          </w:p>
        </w:tc>
        <w:tc>
          <w:tcPr>
            <w:tcW w:w="2812" w:type="pct"/>
            <w:tcBorders>
              <w:top w:val="nil"/>
              <w:left w:val="nil"/>
              <w:bottom w:val="nil"/>
              <w:right w:val="nil"/>
            </w:tcBorders>
            <w:shd w:val="clear" w:color="auto" w:fill="FFFFFF"/>
            <w:vAlign w:val="top"/>
          </w:tcPr>
          <w:p w14:paraId="3D878473">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5.1.1 采用非药物措施与药物治疗相结合的综合策略，核心目标是将血压长期稳定控制在目标范围以内（通常为&lt;140/90 mmHg，具体目标应根据患者年龄、合并症及耐受性进行个体化设定）</w:t>
            </w:r>
          </w:p>
        </w:tc>
      </w:tr>
      <w:tr w14:paraId="039A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967" w:type="pct"/>
            <w:vMerge w:val="continue"/>
            <w:tcBorders>
              <w:top w:val="nil"/>
              <w:left w:val="nil"/>
              <w:bottom w:val="nil"/>
              <w:right w:val="nil"/>
            </w:tcBorders>
            <w:shd w:val="clear" w:color="auto" w:fill="FFFFFF"/>
            <w:vAlign w:val="top"/>
          </w:tcPr>
          <w:p w14:paraId="1B7ABDEC">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6F06A991">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5.2 家庭康复督导</w:t>
            </w:r>
          </w:p>
        </w:tc>
        <w:tc>
          <w:tcPr>
            <w:tcW w:w="2812" w:type="pct"/>
            <w:tcBorders>
              <w:top w:val="nil"/>
              <w:left w:val="nil"/>
              <w:bottom w:val="nil"/>
              <w:right w:val="nil"/>
            </w:tcBorders>
            <w:shd w:val="clear" w:color="auto" w:fill="FFFFFF"/>
            <w:vAlign w:val="top"/>
          </w:tcPr>
          <w:p w14:paraId="5CA14E6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5.2.1 指导患者掌握血压自测、运动日记记录、症状识别（如运动中头晕、胸痛）及应急处理流程。</w:t>
            </w:r>
          </w:p>
        </w:tc>
      </w:tr>
      <w:tr w14:paraId="0CF13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restart"/>
            <w:tcBorders>
              <w:top w:val="nil"/>
              <w:left w:val="nil"/>
              <w:bottom w:val="nil"/>
              <w:right w:val="nil"/>
            </w:tcBorders>
            <w:shd w:val="clear" w:color="auto" w:fill="FFFFFF"/>
            <w:vAlign w:val="top"/>
          </w:tcPr>
          <w:p w14:paraId="7AFC877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 长期护理</w:t>
            </w:r>
          </w:p>
        </w:tc>
        <w:tc>
          <w:tcPr>
            <w:tcW w:w="1220" w:type="pct"/>
            <w:vMerge w:val="restart"/>
            <w:tcBorders>
              <w:top w:val="nil"/>
              <w:left w:val="nil"/>
              <w:bottom w:val="nil"/>
              <w:right w:val="nil"/>
            </w:tcBorders>
            <w:shd w:val="clear" w:color="auto" w:fill="FFFFFF"/>
            <w:vAlign w:val="top"/>
          </w:tcPr>
          <w:p w14:paraId="62B3125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 居家生活照护</w:t>
            </w:r>
          </w:p>
        </w:tc>
        <w:tc>
          <w:tcPr>
            <w:tcW w:w="2812" w:type="pct"/>
            <w:tcBorders>
              <w:top w:val="nil"/>
              <w:left w:val="nil"/>
              <w:bottom w:val="nil"/>
              <w:right w:val="nil"/>
            </w:tcBorders>
            <w:shd w:val="clear" w:color="auto" w:fill="FFFFFF"/>
            <w:vAlign w:val="top"/>
          </w:tcPr>
          <w:p w14:paraId="4A8F00A5">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6.1.1 膳食管理：限制钠盐（每日&lt;5g），优化营养素（多摄入钾、钙、镁），控制脂肪与胆固醇，保证膳食纤维。</w:t>
            </w:r>
          </w:p>
        </w:tc>
      </w:tr>
      <w:tr w14:paraId="6EDDD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4EF2DAF6">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5404F56">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BF0D15D">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6.1.2 规律运动：以有氧运动为主（快走、慢跑、游泳、太极拳等），每周不少于5天，每天30-45分钟中等强度运动。</w:t>
            </w:r>
          </w:p>
        </w:tc>
      </w:tr>
      <w:tr w14:paraId="24FEC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967" w:type="pct"/>
            <w:vMerge w:val="continue"/>
            <w:tcBorders>
              <w:top w:val="nil"/>
              <w:left w:val="nil"/>
              <w:bottom w:val="nil"/>
              <w:right w:val="nil"/>
            </w:tcBorders>
            <w:shd w:val="clear" w:color="auto" w:fill="FFFFFF"/>
            <w:vAlign w:val="top"/>
          </w:tcPr>
          <w:p w14:paraId="57CA9D57">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B2B5E2C">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3233837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6.1.3 体重管理：将BMI维持在18.5-23.9 kg/m²，控制腰围（男&lt;90 cm，女&lt;85 cm）。</w:t>
            </w:r>
          </w:p>
        </w:tc>
      </w:tr>
      <w:tr w14:paraId="31F96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967" w:type="pct"/>
            <w:vMerge w:val="continue"/>
            <w:tcBorders>
              <w:top w:val="nil"/>
              <w:left w:val="nil"/>
              <w:bottom w:val="nil"/>
              <w:right w:val="nil"/>
            </w:tcBorders>
            <w:shd w:val="clear" w:color="auto" w:fill="FFFFFF"/>
            <w:vAlign w:val="top"/>
          </w:tcPr>
          <w:p w14:paraId="213856A2">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FA9CE01">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309EA48">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6.1.4 戒烟限酒：督促彻底戒烟，严格限制酒精摄入。</w:t>
            </w:r>
          </w:p>
        </w:tc>
      </w:tr>
      <w:tr w14:paraId="250C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349016BA">
            <w:pPr>
              <w:jc w:val="both"/>
              <w:outlineLvl w:val="9"/>
              <w:rPr>
                <w:rFonts w:hint="eastAsia" w:ascii="宋体" w:hAnsi="宋体" w:eastAsia="宋体" w:cs="宋体"/>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CB72297">
            <w:pPr>
              <w:jc w:val="both"/>
              <w:outlineLvl w:val="9"/>
              <w:rPr>
                <w:rFonts w:hint="eastAsia" w:ascii="宋体" w:hAnsi="宋体" w:eastAsia="宋体" w:cs="宋体"/>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01C0FCA">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6.1.5 压力管理与规律作息：运用冥想、深呼吸等方法调节情绪，保障每日7-9小时睡眠，评估睡眠呼吸暂停，保持大便通畅。</w:t>
            </w:r>
          </w:p>
        </w:tc>
      </w:tr>
      <w:tr w14:paraId="3B725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0C806050">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5E70CDEE">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6.2 用药护理</w:t>
            </w:r>
          </w:p>
        </w:tc>
        <w:tc>
          <w:tcPr>
            <w:tcW w:w="2812" w:type="pct"/>
            <w:tcBorders>
              <w:top w:val="nil"/>
              <w:left w:val="nil"/>
              <w:bottom w:val="nil"/>
              <w:right w:val="nil"/>
            </w:tcBorders>
            <w:shd w:val="clear" w:color="auto" w:fill="FFFFFF"/>
            <w:vAlign w:val="top"/>
          </w:tcPr>
          <w:p w14:paraId="5D0D83F5">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6.2.1 遵医嘱用药：指导患者按时、按剂量服药，不得自行调整方案或停药。定期复诊以评估疗效、监测不良反应并调整策略。</w:t>
            </w:r>
          </w:p>
        </w:tc>
      </w:tr>
      <w:tr w14:paraId="0B7D2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967" w:type="pct"/>
            <w:vMerge w:val="continue"/>
            <w:tcBorders>
              <w:top w:val="nil"/>
              <w:left w:val="nil"/>
              <w:bottom w:val="nil"/>
              <w:right w:val="nil"/>
            </w:tcBorders>
            <w:shd w:val="clear" w:color="auto" w:fill="FFFFFF"/>
            <w:vAlign w:val="top"/>
          </w:tcPr>
          <w:p w14:paraId="3FCA9193">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6D18CB32">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6.3 血压规范监测</w:t>
            </w:r>
          </w:p>
        </w:tc>
        <w:tc>
          <w:tcPr>
            <w:tcW w:w="2812" w:type="pct"/>
            <w:tcBorders>
              <w:top w:val="nil"/>
              <w:left w:val="nil"/>
              <w:bottom w:val="nil"/>
              <w:right w:val="nil"/>
            </w:tcBorders>
            <w:shd w:val="clear" w:color="auto" w:fill="FFFFFF"/>
            <w:vAlign w:val="top"/>
          </w:tcPr>
          <w:p w14:paraId="1F29FC4C">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6.3.1 规范测量方法：使用经校准的上臂式电子血压计；测量前静息5-10分钟，避免干扰因素；取坐位，袖带中心与心脏同高；连续测量2-3次取平均值；规范记录测量值。</w:t>
            </w:r>
          </w:p>
        </w:tc>
      </w:tr>
      <w:tr w14:paraId="164DC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67" w:type="pct"/>
            <w:vMerge w:val="continue"/>
            <w:tcBorders>
              <w:top w:val="nil"/>
              <w:left w:val="nil"/>
              <w:bottom w:val="single" w:color="000000" w:sz="12" w:space="0"/>
              <w:right w:val="nil"/>
            </w:tcBorders>
            <w:shd w:val="clear" w:color="auto" w:fill="FFFFFF"/>
            <w:vAlign w:val="top"/>
          </w:tcPr>
          <w:p w14:paraId="15729B4C">
            <w:pPr>
              <w:jc w:val="both"/>
              <w:outlineLvl w:val="9"/>
              <w:rPr>
                <w:rFonts w:hint="eastAsia" w:ascii="宋体" w:hAnsi="宋体" w:eastAsia="宋体" w:cs="宋体"/>
                <w:b w:val="0"/>
                <w:i w:val="0"/>
                <w:iCs w:val="0"/>
                <w:color w:val="000000"/>
                <w:sz w:val="21"/>
                <w:szCs w:val="21"/>
                <w:u w:val="none"/>
              </w:rPr>
            </w:pPr>
          </w:p>
        </w:tc>
        <w:tc>
          <w:tcPr>
            <w:tcW w:w="1220" w:type="pct"/>
            <w:tcBorders>
              <w:top w:val="nil"/>
              <w:left w:val="nil"/>
              <w:bottom w:val="single" w:color="000000" w:sz="12" w:space="0"/>
              <w:right w:val="nil"/>
            </w:tcBorders>
            <w:shd w:val="clear" w:color="auto" w:fill="FFFFFF"/>
            <w:vAlign w:val="top"/>
          </w:tcPr>
          <w:p w14:paraId="1AFD55E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6.4 急症识别与应对</w:t>
            </w:r>
          </w:p>
        </w:tc>
        <w:tc>
          <w:tcPr>
            <w:tcW w:w="2812" w:type="pct"/>
            <w:tcBorders>
              <w:top w:val="nil"/>
              <w:left w:val="nil"/>
              <w:bottom w:val="single" w:color="000000" w:sz="12" w:space="0"/>
              <w:right w:val="nil"/>
            </w:tcBorders>
            <w:shd w:val="clear" w:color="auto" w:fill="FFFFFF"/>
            <w:vAlign w:val="top"/>
          </w:tcPr>
          <w:p w14:paraId="7F2E8396">
            <w:pPr>
              <w:keepNext w:val="0"/>
              <w:keepLines w:val="0"/>
              <w:widowControl/>
              <w:suppressLineNumbers w:val="0"/>
              <w:jc w:val="both"/>
              <w:textAlignment w:val="center"/>
              <w:outlineLvl w:val="9"/>
              <w:rPr>
                <w:rFonts w:hint="eastAsia" w:ascii="宋体" w:hAnsi="宋体" w:eastAsia="宋体" w:cs="宋体"/>
                <w:b w:val="0"/>
                <w:i w:val="0"/>
                <w:iCs w:val="0"/>
                <w:color w:val="000000"/>
                <w:sz w:val="21"/>
                <w:szCs w:val="21"/>
                <w:u w:val="none"/>
              </w:rPr>
            </w:pPr>
            <w:r>
              <w:rPr>
                <w:rFonts w:hint="eastAsia" w:ascii="宋体" w:hAnsi="宋体" w:eastAsia="宋体" w:cs="宋体"/>
                <w:b w:val="0"/>
                <w:i w:val="0"/>
                <w:iCs w:val="0"/>
                <w:color w:val="000000"/>
                <w:kern w:val="0"/>
                <w:sz w:val="21"/>
                <w:szCs w:val="21"/>
                <w:u w:val="none"/>
                <w:lang w:val="en-US" w:eastAsia="zh-CN" w:bidi="ar"/>
              </w:rPr>
              <w:t>6.4.1 危重症状识别：密切观察是否出现剧烈头痛、眩晕、视力模糊、胸闷、胸痛、心悸、呼吸困难、严重恶心呕吐等提示病情危重的症状，一旦出现立即就医。</w:t>
            </w:r>
          </w:p>
        </w:tc>
      </w:tr>
    </w:tbl>
    <w:p w14:paraId="57ECD9E6">
      <w:pPr>
        <w:pStyle w:val="10"/>
        <w:outlineLvl w:val="9"/>
        <w:rPr>
          <w:rFonts w:hint="default"/>
          <w:lang w:val="en-US" w:eastAsia="zh-CN"/>
        </w:rPr>
      </w:pPr>
    </w:p>
    <w:p w14:paraId="4A2456E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5 糖尿病服务技术分级建设规范编制    </w:t>
      </w:r>
    </w:p>
    <w:p w14:paraId="7BD7D70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5.1 描述  </w:t>
      </w:r>
    </w:p>
    <w:p w14:paraId="7CB46047">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糖尿病服务技术分级建设规范旨在构建一个以患者为中心、涵盖代谢控制、并发症防控与健康行为维持的全程管理技术体系。本规范通过清晰的技术分级，指导各级机构协同开展糖尿病教育、精准治疗、并发症筛查及自我管理支持，以期实现血糖长期稳定达标，延缓并发症发生发展。</w:t>
      </w:r>
    </w:p>
    <w:p w14:paraId="40C81FD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5.2.1 一级技术</w:t>
      </w:r>
    </w:p>
    <w:p w14:paraId="379850D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设置6个一级技术模块：预防干预、早期筛查、分级管理、规范治疗、功能康复、长期护理。该框架体现了从人群策略到个体化管理、从诊断治疗到生活方式长期维持的完整闭环。</w:t>
      </w:r>
    </w:p>
    <w:p w14:paraId="5EA064C0">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5.2.2 二级技术</w:t>
      </w:r>
    </w:p>
    <w:p w14:paraId="6FF8EC53">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在一级技术模块下，共设置19个二级技术节点，包括实施全民健康教育、推广健康生活方式、多渠道高危人群识别、高危人群筛查、定期随访与评估、患者教育与管理支持、年度全面健康体检、营养治疗、运动治疗、药物治疗、体重综合管理、生活方式核心干预、心理社会支持与自我管理赋能、特殊人群康复干预、干预效果评估与方案调整、核心护理措施、不同照护场景下的护理重点、急性并发症的识别与紧急处理、慢性并发症的监测与风险管理。</w:t>
      </w:r>
    </w:p>
    <w:p w14:paraId="6C88544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5.2.3 三级技术</w:t>
      </w:r>
    </w:p>
    <w:p w14:paraId="1E89FC22">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共29个三级技术。具体内容见表5。</w:t>
      </w:r>
    </w:p>
    <w:p w14:paraId="38AD8053">
      <w:pPr>
        <w:pStyle w:val="10"/>
        <w:spacing w:line="360" w:lineRule="auto"/>
        <w:ind w:firstLine="422"/>
        <w:jc w:val="center"/>
        <w:outlineLvl w:val="9"/>
        <w:rPr>
          <w:rFonts w:ascii="Times New Roman"/>
        </w:rPr>
      </w:pPr>
      <w:r>
        <w:rPr>
          <w:rFonts w:hint="eastAsia" w:ascii="Times New Roman"/>
          <w:b/>
          <w:bCs/>
        </w:rPr>
        <w:t xml:space="preserve">表 </w:t>
      </w:r>
      <w:r>
        <w:rPr>
          <w:rFonts w:hint="eastAsia" w:ascii="Times New Roman"/>
          <w:b/>
          <w:bCs/>
          <w:lang w:val="en-US" w:eastAsia="zh-CN"/>
        </w:rPr>
        <w:t>5</w:t>
      </w:r>
      <w:r>
        <w:rPr>
          <w:rFonts w:hint="eastAsia" w:ascii="Times New Roman"/>
          <w:b/>
          <w:bCs/>
        </w:rPr>
        <w:t xml:space="preserve">  </w:t>
      </w:r>
      <w:r>
        <w:rPr>
          <w:rFonts w:hint="eastAsia" w:ascii="Times New Roman"/>
          <w:b/>
          <w:bCs/>
          <w:lang w:val="en-US" w:eastAsia="zh-CN"/>
        </w:rPr>
        <w:t>糖尿病“防、筛、管、治、康、护”服务技术标准体系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01D8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2DF89AD5">
            <w:pPr>
              <w:keepNext w:val="0"/>
              <w:keepLines w:val="0"/>
              <w:widowControl/>
              <w:suppressLineNumbers w:val="0"/>
              <w:jc w:val="center"/>
              <w:textAlignment w:val="center"/>
              <w:outlineLvl w:val="9"/>
              <w:rPr>
                <w:rFonts w:ascii="Times New Roman"/>
                <w:sz w:val="22"/>
                <w:szCs w:val="22"/>
                <w:vertAlign w:val="baseline"/>
              </w:rPr>
            </w:pPr>
            <w:r>
              <w:rPr>
                <w:rFonts w:hint="eastAsia" w:ascii="宋体" w:hAnsi="宋体" w:eastAsia="宋体" w:cs="宋体"/>
                <w:b/>
                <w:bCs/>
                <w:i w:val="0"/>
                <w:iCs w:val="0"/>
                <w:color w:val="000000"/>
                <w:kern w:val="0"/>
                <w:sz w:val="22"/>
                <w:szCs w:val="22"/>
                <w:u w:val="none"/>
                <w:lang w:val="en-US" w:eastAsia="zh-CN" w:bidi="ar"/>
              </w:rPr>
              <w:t>一级</w:t>
            </w:r>
            <w:r>
              <w:rPr>
                <w:rFonts w:hint="eastAsia" w:ascii="宋体" w:hAnsi="宋体" w:cs="宋体"/>
                <w:b/>
                <w:bCs/>
                <w:i w:val="0"/>
                <w:iCs w:val="0"/>
                <w:color w:val="000000"/>
                <w:kern w:val="0"/>
                <w:sz w:val="22"/>
                <w:szCs w:val="22"/>
                <w:u w:val="none"/>
                <w:lang w:val="en-US" w:eastAsia="zh-CN" w:bidi="ar"/>
              </w:rPr>
              <w:t>技术</w:t>
            </w:r>
            <w:r>
              <w:rPr>
                <w:rFonts w:hint="eastAsia" w:ascii="宋体" w:hAnsi="宋体" w:eastAsia="宋体" w:cs="宋体"/>
                <w:b/>
                <w:bCs/>
                <w:i w:val="0"/>
                <w:iCs w:val="0"/>
                <w:color w:val="000000"/>
                <w:kern w:val="0"/>
                <w:sz w:val="22"/>
                <w:szCs w:val="22"/>
                <w:u w:val="none"/>
                <w:lang w:val="en-US" w:eastAsia="zh-CN" w:bidi="ar"/>
              </w:rPr>
              <w:t>模块</w:t>
            </w:r>
          </w:p>
        </w:tc>
        <w:tc>
          <w:tcPr>
            <w:tcW w:w="2138" w:type="dxa"/>
            <w:tcBorders>
              <w:left w:val="nil"/>
              <w:bottom w:val="single" w:color="auto" w:sz="4" w:space="0"/>
              <w:right w:val="nil"/>
            </w:tcBorders>
            <w:vAlign w:val="top"/>
          </w:tcPr>
          <w:p w14:paraId="77E3022B">
            <w:pPr>
              <w:keepNext w:val="0"/>
              <w:keepLines w:val="0"/>
              <w:widowControl/>
              <w:suppressLineNumbers w:val="0"/>
              <w:jc w:val="center"/>
              <w:textAlignment w:val="center"/>
              <w:outlineLvl w:val="9"/>
              <w:rPr>
                <w:rFonts w:ascii="Times New Roman"/>
                <w:sz w:val="22"/>
                <w:szCs w:val="22"/>
                <w:vertAlign w:val="baseline"/>
              </w:rPr>
            </w:pPr>
            <w:r>
              <w:rPr>
                <w:rFonts w:hint="eastAsia" w:ascii="宋体" w:hAnsi="宋体" w:eastAsia="宋体" w:cs="宋体"/>
                <w:b/>
                <w:bCs/>
                <w:i w:val="0"/>
                <w:iCs w:val="0"/>
                <w:color w:val="000000"/>
                <w:kern w:val="0"/>
                <w:sz w:val="22"/>
                <w:szCs w:val="22"/>
                <w:u w:val="none"/>
                <w:lang w:val="en-US" w:eastAsia="zh-CN" w:bidi="ar"/>
              </w:rPr>
              <w:t>二级技术节点</w:t>
            </w:r>
          </w:p>
        </w:tc>
        <w:tc>
          <w:tcPr>
            <w:tcW w:w="5542" w:type="dxa"/>
            <w:tcBorders>
              <w:left w:val="nil"/>
              <w:bottom w:val="single" w:color="auto" w:sz="4" w:space="0"/>
              <w:right w:val="nil"/>
            </w:tcBorders>
            <w:vAlign w:val="top"/>
          </w:tcPr>
          <w:p w14:paraId="744A51B3">
            <w:pPr>
              <w:keepNext w:val="0"/>
              <w:keepLines w:val="0"/>
              <w:widowControl/>
              <w:suppressLineNumbers w:val="0"/>
              <w:jc w:val="center"/>
              <w:textAlignment w:val="center"/>
              <w:outlineLvl w:val="9"/>
              <w:rPr>
                <w:rFonts w:hint="default" w:ascii="Times New Roman"/>
                <w:sz w:val="22"/>
                <w:szCs w:val="22"/>
                <w:vertAlign w:val="baseline"/>
                <w:lang w:val="en-US"/>
              </w:rPr>
            </w:pPr>
            <w:r>
              <w:rPr>
                <w:rFonts w:hint="eastAsia" w:ascii="宋体" w:hAnsi="宋体" w:eastAsia="宋体" w:cs="宋体"/>
                <w:b/>
                <w:bCs/>
                <w:i w:val="0"/>
                <w:iCs w:val="0"/>
                <w:color w:val="000000"/>
                <w:kern w:val="0"/>
                <w:sz w:val="22"/>
                <w:szCs w:val="22"/>
                <w:u w:val="none"/>
                <w:lang w:val="en-US" w:eastAsia="zh-CN" w:bidi="ar"/>
              </w:rPr>
              <w:t>三级技术</w:t>
            </w:r>
            <w:r>
              <w:rPr>
                <w:rFonts w:hint="eastAsia" w:ascii="宋体" w:hAnsi="宋体" w:cs="宋体"/>
                <w:b/>
                <w:bCs/>
                <w:i w:val="0"/>
                <w:iCs w:val="0"/>
                <w:color w:val="000000"/>
                <w:kern w:val="0"/>
                <w:sz w:val="22"/>
                <w:szCs w:val="22"/>
                <w:u w:val="none"/>
                <w:lang w:val="en-US" w:eastAsia="zh-CN" w:bidi="ar"/>
              </w:rPr>
              <w:t>内容</w:t>
            </w:r>
          </w:p>
        </w:tc>
      </w:tr>
      <w:tr w14:paraId="58B4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4D6C264B">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3F3E85AA">
            <w:pPr>
              <w:pStyle w:val="10"/>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实施全民健康教育</w:t>
            </w:r>
          </w:p>
        </w:tc>
        <w:tc>
          <w:tcPr>
            <w:tcW w:w="5542" w:type="dxa"/>
            <w:tcBorders>
              <w:top w:val="single" w:color="auto" w:sz="4" w:space="0"/>
              <w:left w:val="nil"/>
              <w:bottom w:val="nil"/>
              <w:right w:val="nil"/>
            </w:tcBorders>
          </w:tcPr>
          <w:p w14:paraId="3C41CECA">
            <w:pPr>
              <w:pStyle w:val="10"/>
              <w:widowControl w:val="0"/>
              <w:spacing w:line="360" w:lineRule="auto"/>
              <w:ind w:left="0" w:leftChars="0" w:firstLine="0" w:firstLineChars="0"/>
              <w:jc w:val="left"/>
              <w:outlineLvl w:val="9"/>
              <w:rPr>
                <w:rFonts w:hint="eastAsia" w:ascii="Times New Roman"/>
                <w:vertAlign w:val="baseline"/>
              </w:rPr>
            </w:pPr>
            <w:r>
              <w:rPr>
                <w:rFonts w:hint="eastAsia" w:ascii="Times New Roman"/>
                <w:vertAlign w:val="baseline"/>
              </w:rPr>
              <w:t>普及防治核心知识</w:t>
            </w:r>
            <w:r>
              <w:rPr>
                <w:rFonts w:hint="eastAsia" w:ascii="Times New Roman"/>
                <w:vertAlign w:val="baseline"/>
                <w:lang w:eastAsia="zh-CN"/>
              </w:rPr>
              <w:t>：</w:t>
            </w:r>
            <w:r>
              <w:rPr>
                <w:rFonts w:hint="eastAsia" w:ascii="Times New Roman"/>
                <w:vertAlign w:val="baseline"/>
              </w:rPr>
              <w:t>提升公众疾病认知水平与主动参与</w:t>
            </w:r>
          </w:p>
        </w:tc>
      </w:tr>
      <w:tr w14:paraId="3A22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1A4FD47">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1F7E7F20">
            <w:pPr>
              <w:pStyle w:val="10"/>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推广健康生活方式</w:t>
            </w:r>
          </w:p>
        </w:tc>
        <w:tc>
          <w:tcPr>
            <w:tcW w:w="5542" w:type="dxa"/>
            <w:tcBorders>
              <w:top w:val="nil"/>
              <w:left w:val="nil"/>
              <w:bottom w:val="nil"/>
              <w:right w:val="nil"/>
            </w:tcBorders>
          </w:tcPr>
          <w:p w14:paraId="15F09AB5">
            <w:pPr>
              <w:pStyle w:val="10"/>
              <w:widowControl w:val="0"/>
              <w:spacing w:line="360" w:lineRule="auto"/>
              <w:ind w:left="0" w:leftChars="0" w:firstLine="0" w:firstLineChars="0"/>
              <w:jc w:val="left"/>
              <w:outlineLvl w:val="9"/>
              <w:rPr>
                <w:rFonts w:hint="eastAsia" w:ascii="Times New Roman"/>
                <w:vertAlign w:val="baseline"/>
                <w:lang w:val="en-US" w:eastAsia="zh-CN"/>
              </w:rPr>
            </w:pPr>
            <w:r>
              <w:rPr>
                <w:rFonts w:hint="eastAsia" w:ascii="Times New Roman"/>
                <w:vertAlign w:val="baseline"/>
                <w:lang w:val="en-US" w:eastAsia="zh-CN"/>
              </w:rPr>
              <w:t>倡导综合健康行为：倡导居民均衡膳食、规律适量运动、维持健康体重、限制钠盐与酒精摄入、彻底戒烟以及保持心理平衡等</w:t>
            </w:r>
          </w:p>
        </w:tc>
      </w:tr>
      <w:tr w14:paraId="5F1D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1A30DAB">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tcBorders>
              <w:top w:val="nil"/>
              <w:left w:val="nil"/>
              <w:bottom w:val="nil"/>
              <w:right w:val="nil"/>
            </w:tcBorders>
            <w:vAlign w:val="center"/>
          </w:tcPr>
          <w:p w14:paraId="002FE983">
            <w:pPr>
              <w:pStyle w:val="10"/>
              <w:widowControl w:val="0"/>
              <w:spacing w:line="360" w:lineRule="auto"/>
              <w:ind w:left="0" w:leftChars="0" w:firstLine="0" w:firstLineChars="0"/>
              <w:jc w:val="center"/>
              <w:outlineLvl w:val="9"/>
              <w:rPr>
                <w:rFonts w:hint="eastAsia" w:ascii="Times New Roman"/>
                <w:vertAlign w:val="baseline"/>
                <w:lang w:val="en-US" w:eastAsia="zh-CN"/>
              </w:rPr>
            </w:pPr>
            <w:r>
              <w:rPr>
                <w:rFonts w:hint="eastAsia" w:ascii="Times New Roman"/>
                <w:vertAlign w:val="baseline"/>
                <w:lang w:val="en-US" w:eastAsia="zh-CN"/>
              </w:rPr>
              <w:t>多渠道高危人群识别</w:t>
            </w:r>
          </w:p>
        </w:tc>
        <w:tc>
          <w:tcPr>
            <w:tcW w:w="5542" w:type="dxa"/>
            <w:tcBorders>
              <w:top w:val="nil"/>
              <w:left w:val="nil"/>
              <w:bottom w:val="nil"/>
              <w:right w:val="nil"/>
            </w:tcBorders>
          </w:tcPr>
          <w:p w14:paraId="3F7B32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vertAlign w:val="baseline"/>
                <w:lang w:val="en-US" w:eastAsia="zh-CN"/>
              </w:rPr>
            </w:pPr>
            <w:r>
              <w:rPr>
                <w:rFonts w:hint="eastAsia" w:ascii="Times New Roman" w:hAnsi="Times New Roman" w:eastAsia="宋体" w:cs="Times New Roman"/>
                <w:kern w:val="0"/>
                <w:sz w:val="21"/>
                <w:szCs w:val="20"/>
                <w:vertAlign w:val="baseline"/>
                <w:lang w:val="en-US" w:eastAsia="zh-CN" w:bidi="ar-SA"/>
              </w:rPr>
              <w:t>整合多来源资料：</w:t>
            </w:r>
            <w:r>
              <w:rPr>
                <w:rFonts w:hint="eastAsia" w:ascii="Times New Roman" w:hAnsi="Times New Roman" w:cs="Times New Roman"/>
                <w:kern w:val="0"/>
                <w:sz w:val="21"/>
                <w:szCs w:val="20"/>
                <w:vertAlign w:val="baseline"/>
                <w:lang w:val="en-US" w:eastAsia="zh-CN" w:bidi="ar-SA"/>
              </w:rPr>
              <w:t>查阅</w:t>
            </w:r>
            <w:r>
              <w:rPr>
                <w:rFonts w:hint="eastAsia" w:ascii="Times New Roman" w:hAnsi="Times New Roman" w:eastAsia="宋体" w:cs="Times New Roman"/>
                <w:kern w:val="0"/>
                <w:sz w:val="21"/>
                <w:szCs w:val="20"/>
                <w:vertAlign w:val="baseline"/>
                <w:lang w:val="en-US" w:eastAsia="zh-CN" w:bidi="ar-SA"/>
              </w:rPr>
              <w:t xml:space="preserve">居民健康档案、基本公共卫生服务项目及各类机会性医疗接触，系统性发现糖尿病高危个体。 </w:t>
            </w:r>
          </w:p>
        </w:tc>
      </w:tr>
      <w:tr w14:paraId="4A25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3FF7403">
            <w:pPr>
              <w:pStyle w:val="10"/>
              <w:widowControl w:val="0"/>
              <w:spacing w:line="360" w:lineRule="auto"/>
              <w:jc w:val="center"/>
              <w:outlineLvl w:val="9"/>
              <w:rPr>
                <w:rFonts w:ascii="Times New Roman"/>
                <w:vertAlign w:val="baseline"/>
              </w:rPr>
            </w:pPr>
          </w:p>
        </w:tc>
        <w:tc>
          <w:tcPr>
            <w:tcW w:w="2138" w:type="dxa"/>
            <w:vMerge w:val="restart"/>
            <w:tcBorders>
              <w:top w:val="nil"/>
              <w:left w:val="nil"/>
              <w:bottom w:val="nil"/>
              <w:right w:val="nil"/>
            </w:tcBorders>
            <w:vAlign w:val="center"/>
          </w:tcPr>
          <w:p w14:paraId="36664557">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4A8EB98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eastAsia="宋体"/>
                <w:vertAlign w:val="baseline"/>
                <w:lang w:val="en-US" w:eastAsia="zh-CN"/>
              </w:rPr>
            </w:pPr>
            <w:r>
              <w:rPr>
                <w:rFonts w:hint="eastAsia" w:ascii="Times New Roman" w:hAnsi="Times New Roman" w:eastAsia="宋体" w:cs="Times New Roman"/>
                <w:kern w:val="0"/>
                <w:sz w:val="21"/>
                <w:szCs w:val="20"/>
                <w:vertAlign w:val="baseline"/>
                <w:lang w:val="en-US" w:eastAsia="zh-CN" w:bidi="ar-SA"/>
              </w:rPr>
              <w:t>两点法筛查：检测空腹静脉血浆葡萄糖及OGTT 2小时静脉血浆葡萄糖。</w:t>
            </w:r>
            <w:r>
              <w:rPr>
                <w:rFonts w:hint="eastAsia" w:ascii="Times New Roman" w:hAnsi="Times New Roman" w:cs="Times New Roman"/>
                <w:kern w:val="0"/>
                <w:sz w:val="21"/>
                <w:szCs w:val="20"/>
                <w:vertAlign w:val="baseline"/>
                <w:lang w:val="en-US" w:eastAsia="zh-CN" w:bidi="ar-SA"/>
              </w:rPr>
              <w:t>若</w:t>
            </w:r>
            <w:r>
              <w:rPr>
                <w:rFonts w:hint="eastAsia" w:ascii="Times New Roman" w:hAnsi="Times New Roman" w:eastAsia="宋体" w:cs="Times New Roman"/>
                <w:kern w:val="0"/>
                <w:sz w:val="21"/>
                <w:szCs w:val="20"/>
                <w:vertAlign w:val="baseline"/>
                <w:lang w:val="en-US" w:eastAsia="zh-CN" w:bidi="ar-SA"/>
              </w:rPr>
              <w:t>空腹血糖 &lt; 6.1 mmol/L 且 OGTT 2小时血糖 &lt; 7.8 mmol/L</w:t>
            </w:r>
            <w:r>
              <w:rPr>
                <w:rFonts w:hint="eastAsia" w:ascii="Times New Roman" w:hAnsi="Times New Roman" w:cs="Times New Roman"/>
                <w:kern w:val="0"/>
                <w:sz w:val="21"/>
                <w:szCs w:val="20"/>
                <w:vertAlign w:val="baseline"/>
                <w:lang w:val="en-US" w:eastAsia="zh-CN" w:bidi="ar-SA"/>
              </w:rPr>
              <w:t>，则结果正常，建议至少每3年重复筛查一次；若筛查结果为糖尿病前期，建议每年筛查一次。</w:t>
            </w:r>
          </w:p>
        </w:tc>
      </w:tr>
      <w:tr w14:paraId="50B1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646E459">
            <w:pPr>
              <w:pStyle w:val="10"/>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175F9F73">
            <w:pPr>
              <w:pStyle w:val="10"/>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7A265E4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Times New Roman"/>
                <w:vertAlign w:val="baseline"/>
              </w:rPr>
            </w:pPr>
            <w:r>
              <w:rPr>
                <w:rFonts w:hint="eastAsia" w:ascii="Times New Roman" w:hAnsi="Times New Roman" w:eastAsia="宋体" w:cs="Times New Roman"/>
                <w:kern w:val="0"/>
                <w:sz w:val="21"/>
                <w:szCs w:val="20"/>
                <w:vertAlign w:val="baseline"/>
                <w:lang w:val="en-US" w:eastAsia="zh-CN" w:bidi="ar-SA"/>
              </w:rPr>
              <w:t>中国糖尿病风险评估表</w:t>
            </w:r>
            <w:r>
              <w:rPr>
                <w:rFonts w:hint="eastAsia" w:ascii="Times New Roman" w:hAnsi="Times New Roman" w:cs="Times New Roman"/>
                <w:kern w:val="0"/>
                <w:sz w:val="21"/>
                <w:szCs w:val="20"/>
                <w:vertAlign w:val="baseline"/>
                <w:lang w:val="en-US" w:eastAsia="zh-CN" w:bidi="ar-SA"/>
              </w:rPr>
              <w:t>筛查：</w:t>
            </w:r>
            <w:r>
              <w:rPr>
                <w:rFonts w:hint="eastAsia" w:ascii="Times New Roman" w:hAnsi="Times New Roman" w:eastAsia="宋体" w:cs="Times New Roman"/>
                <w:kern w:val="0"/>
                <w:sz w:val="21"/>
                <w:szCs w:val="20"/>
                <w:vertAlign w:val="baseline"/>
                <w:lang w:val="en-US" w:eastAsia="zh-CN" w:bidi="ar-SA"/>
              </w:rPr>
              <w:t>评分达标者（如总分≥25分）建议进行实验室血糖检测，至少每3年重复筛查一次；若筛查结果为糖尿病前期，建议每年筛查一次。</w:t>
            </w:r>
          </w:p>
        </w:tc>
      </w:tr>
      <w:tr w14:paraId="6F60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6A17488">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30F5E03E">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4767D772">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cs="Times New Roman"/>
                <w:kern w:val="0"/>
                <w:sz w:val="21"/>
                <w:szCs w:val="20"/>
                <w:vertAlign w:val="baseline"/>
                <w:lang w:val="en-US" w:eastAsia="zh-CN" w:bidi="ar-SA"/>
              </w:rPr>
              <w:t>定期随访与评估</w:t>
            </w:r>
          </w:p>
        </w:tc>
        <w:tc>
          <w:tcPr>
            <w:tcW w:w="5542" w:type="dxa"/>
            <w:tcBorders>
              <w:top w:val="nil"/>
              <w:left w:val="nil"/>
              <w:bottom w:val="nil"/>
              <w:right w:val="nil"/>
            </w:tcBorders>
            <w:vAlign w:val="top"/>
          </w:tcPr>
          <w:p w14:paraId="7EA505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执行定期随访核心内容检查：每次随访应做好空腹血糖与血压监测、及时识别危急情况并做好转诊以及做好患者综合状况的评估。</w:t>
            </w:r>
          </w:p>
        </w:tc>
      </w:tr>
      <w:tr w14:paraId="4778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D3E7E93">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385235C3">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1966A0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实施分级干预措施与健康指导：</w:t>
            </w:r>
          </w:p>
          <w:p w14:paraId="2C45BE9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①</w:t>
            </w:r>
            <w:r>
              <w:rPr>
                <w:rFonts w:hint="eastAsia" w:ascii="Times New Roman" w:hAnsi="Times New Roman" w:eastAsia="宋体" w:cs="Times New Roman"/>
                <w:kern w:val="0"/>
                <w:sz w:val="21"/>
                <w:szCs w:val="20"/>
                <w:vertAlign w:val="baseline"/>
                <w:lang w:val="en-US" w:eastAsia="zh-CN" w:bidi="ar-SA"/>
              </w:rPr>
              <w:t>控制满意者，予以健康指导并预约下一次常规随访</w:t>
            </w:r>
            <w:r>
              <w:rPr>
                <w:rFonts w:hint="eastAsia" w:ascii="Times New Roman" w:hAnsi="Times New Roman" w:cs="Times New Roman"/>
                <w:kern w:val="0"/>
                <w:sz w:val="21"/>
                <w:szCs w:val="20"/>
                <w:vertAlign w:val="baseline"/>
                <w:lang w:val="en-US" w:eastAsia="zh-CN" w:bidi="ar-SA"/>
              </w:rPr>
              <w:t>；</w:t>
            </w:r>
          </w:p>
          <w:p w14:paraId="5B561F0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②初次出现血糖控制不达标或轻度药物不良反应者，应重点评估治疗依从性，进行针对性指导，并可在2周后增加一次短期随访；</w:t>
            </w:r>
          </w:p>
          <w:p w14:paraId="1DC184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③连续两次血糖控制不达标、不良反应控制不佳，或出现新发/加重并发症的患者，应建议并协助其转诊至上级医院，并在2周内主动随访。</w:t>
            </w:r>
          </w:p>
          <w:p w14:paraId="5788FC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④每次随访均应为患者提供个体化健康教育，共同制定并回顾生活方式改进目标，明确需及时就医的异常体征。</w:t>
            </w:r>
          </w:p>
        </w:tc>
      </w:tr>
      <w:tr w14:paraId="71A0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70E2D59E">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7D224A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719E6F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患者教育与管理支持</w:t>
            </w:r>
          </w:p>
          <w:p w14:paraId="44EEC15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3DAE217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00C4F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系统化</w:t>
            </w:r>
            <w:r>
              <w:rPr>
                <w:rFonts w:hint="eastAsia" w:ascii="Times New Roman" w:hAnsi="Times New Roman" w:cs="Times New Roman"/>
                <w:kern w:val="0"/>
                <w:sz w:val="21"/>
                <w:szCs w:val="20"/>
                <w:vertAlign w:val="baseline"/>
                <w:lang w:val="en-US" w:eastAsia="zh-CN" w:bidi="ar-SA"/>
              </w:rPr>
              <w:t>与</w:t>
            </w:r>
            <w:r>
              <w:rPr>
                <w:rFonts w:hint="eastAsia" w:ascii="Times New Roman" w:hAnsi="Times New Roman" w:eastAsia="宋体" w:cs="Times New Roman"/>
                <w:kern w:val="0"/>
                <w:sz w:val="21"/>
                <w:szCs w:val="20"/>
                <w:vertAlign w:val="baseline"/>
                <w:lang w:val="en-US" w:eastAsia="zh-CN" w:bidi="ar-SA"/>
              </w:rPr>
              <w:t>多形式教育方式：多形式并举，涵盖个体化指导、集体教育、同伴支持、家庭参与及数字化远程教育，以提升患者自我管理能力。</w:t>
            </w:r>
          </w:p>
        </w:tc>
      </w:tr>
      <w:tr w14:paraId="0FB4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87F1D80">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38EF5F7">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5DE60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规范化教育管理流程：遵循“评估-计划-实施-评价”的闭环流程，首先评估患者需求与问题，据此制定个性化教育目标与计划，通过适宜方式实施，并定期评价教育效果以持续改进</w:t>
            </w:r>
          </w:p>
        </w:tc>
      </w:tr>
      <w:tr w14:paraId="5526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EFDF7E0">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3347D629">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年度全面健康体检</w:t>
            </w:r>
          </w:p>
        </w:tc>
        <w:tc>
          <w:tcPr>
            <w:tcW w:w="5542" w:type="dxa"/>
            <w:tcBorders>
              <w:top w:val="nil"/>
              <w:left w:val="nil"/>
              <w:bottom w:val="nil"/>
              <w:right w:val="nil"/>
            </w:tcBorders>
            <w:vAlign w:val="top"/>
          </w:tcPr>
          <w:p w14:paraId="3D37C41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实施全面年度健康检查：每年为确诊患者提供1次全面的健康体检，涵盖一般状况与生命体征、常规体格检查及器官功能评估，以系统评估其整体健康状况及并发症迹象。</w:t>
            </w:r>
          </w:p>
        </w:tc>
      </w:tr>
      <w:tr w14:paraId="5870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674C688">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vMerge w:val="restart"/>
            <w:tcBorders>
              <w:top w:val="nil"/>
              <w:left w:val="nil"/>
              <w:bottom w:val="nil"/>
              <w:right w:val="nil"/>
            </w:tcBorders>
            <w:vAlign w:val="center"/>
          </w:tcPr>
          <w:p w14:paraId="25DDFB48">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营养治疗</w:t>
            </w:r>
          </w:p>
        </w:tc>
        <w:tc>
          <w:tcPr>
            <w:tcW w:w="5542" w:type="dxa"/>
            <w:tcBorders>
              <w:top w:val="nil"/>
              <w:left w:val="nil"/>
              <w:bottom w:val="nil"/>
              <w:right w:val="nil"/>
            </w:tcBorders>
            <w:vAlign w:val="top"/>
          </w:tcPr>
          <w:p w14:paraId="24CD5A9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能量与体重管理：制定个体化能量平衡计划</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超重/肥胖者目标为减重5%以上</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每日能量摄入参考标准体重计算并</w:t>
            </w:r>
            <w:r>
              <w:rPr>
                <w:rFonts w:hint="eastAsia" w:ascii="Times New Roman" w:hAnsi="Times New Roman" w:cs="Times New Roman"/>
                <w:kern w:val="0"/>
                <w:sz w:val="21"/>
                <w:szCs w:val="20"/>
                <w:vertAlign w:val="baseline"/>
                <w:lang w:val="en-US" w:eastAsia="zh-CN" w:bidi="ar-SA"/>
              </w:rPr>
              <w:t>根据实际情况</w:t>
            </w:r>
            <w:r>
              <w:rPr>
                <w:rFonts w:hint="default" w:ascii="Times New Roman" w:hAnsi="Times New Roman" w:eastAsia="宋体" w:cs="Times New Roman"/>
                <w:kern w:val="0"/>
                <w:sz w:val="21"/>
                <w:szCs w:val="20"/>
                <w:vertAlign w:val="baseline"/>
                <w:lang w:val="en-US" w:eastAsia="zh-CN" w:bidi="ar-SA"/>
              </w:rPr>
              <w:t>调整。</w:t>
            </w:r>
          </w:p>
        </w:tc>
      </w:tr>
      <w:tr w14:paraId="75E3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30869E4">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ECC5E7F">
            <w:pPr>
              <w:pStyle w:val="10"/>
              <w:widowControl w:val="0"/>
              <w:spacing w:line="360" w:lineRule="auto"/>
              <w:ind w:left="0" w:leftChars="0" w:firstLine="0" w:firstLineChars="0"/>
              <w:jc w:val="center"/>
              <w:outlineLvl w:val="9"/>
              <w:rPr>
                <w:rFonts w:hint="eastAsia" w:ascii="Times New Roman"/>
                <w:vertAlign w:val="baseline"/>
                <w:lang w:val="en-US" w:eastAsia="zh-CN"/>
              </w:rPr>
            </w:pPr>
          </w:p>
        </w:tc>
        <w:tc>
          <w:tcPr>
            <w:tcW w:w="5542" w:type="dxa"/>
            <w:tcBorders>
              <w:top w:val="nil"/>
              <w:left w:val="nil"/>
              <w:bottom w:val="nil"/>
              <w:right w:val="nil"/>
            </w:tcBorders>
            <w:vAlign w:val="top"/>
          </w:tcPr>
          <w:p w14:paraId="1786B8B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宏量营养素分配与食物选择</w:t>
            </w:r>
            <w:r>
              <w:rPr>
                <w:rFonts w:hint="eastAsia" w:ascii="Times New Roman" w:hAnsi="Times New Roman" w:eastAsia="宋体"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碳水化合物供能比45%-60%，优选低GI高纤维食物，限添加糖</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脂肪供能比20%-35%，优化脂肪酸构成，限饱和与反式脂肪，胆固醇&lt;300mg/日</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蛋白质供能比15%-20%（肾功正常者），保证优质蛋白，肾损者酌情限制。</w:t>
            </w:r>
          </w:p>
        </w:tc>
      </w:tr>
      <w:tr w14:paraId="1DF8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A8DC5C6">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1D97BFBE">
            <w:pPr>
              <w:pStyle w:val="10"/>
              <w:widowControl w:val="0"/>
              <w:spacing w:line="360" w:lineRule="auto"/>
              <w:ind w:left="0" w:leftChars="0" w:firstLine="0" w:firstLineChars="0"/>
              <w:jc w:val="center"/>
              <w:outlineLvl w:val="9"/>
              <w:rPr>
                <w:rFonts w:hint="eastAsia" w:ascii="Times New Roman"/>
                <w:vertAlign w:val="baseline"/>
                <w:lang w:val="en-US" w:eastAsia="zh-CN"/>
              </w:rPr>
            </w:pPr>
          </w:p>
        </w:tc>
        <w:tc>
          <w:tcPr>
            <w:tcW w:w="5542" w:type="dxa"/>
            <w:tcBorders>
              <w:top w:val="nil"/>
              <w:left w:val="nil"/>
              <w:bottom w:val="nil"/>
              <w:right w:val="nil"/>
            </w:tcBorders>
            <w:vAlign w:val="top"/>
          </w:tcPr>
          <w:p w14:paraId="7EA5C12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其他饮食建议：</w:t>
            </w:r>
            <w:r>
              <w:rPr>
                <w:rFonts w:hint="default" w:ascii="Times New Roman" w:hAnsi="Times New Roman" w:eastAsia="宋体" w:cs="Times New Roman"/>
                <w:kern w:val="0"/>
                <w:sz w:val="21"/>
                <w:szCs w:val="20"/>
                <w:vertAlign w:val="baseline"/>
                <w:lang w:val="en-US" w:eastAsia="zh-CN" w:bidi="ar-SA"/>
              </w:rPr>
              <w:t>限盐：每日&lt;5克，高血压者进一步限制</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限酒：不推荐，若饮需严格限量并计入总能量</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保证膳食多样性，酌情补充微量营养素。</w:t>
            </w:r>
          </w:p>
        </w:tc>
      </w:tr>
      <w:tr w14:paraId="6A79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63737B8">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740E7CC5">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运动治疗</w:t>
            </w:r>
          </w:p>
        </w:tc>
        <w:tc>
          <w:tcPr>
            <w:tcW w:w="5542" w:type="dxa"/>
            <w:tcBorders>
              <w:top w:val="nil"/>
              <w:left w:val="nil"/>
              <w:bottom w:val="nil"/>
              <w:right w:val="nil"/>
            </w:tcBorders>
            <w:vAlign w:val="top"/>
          </w:tcPr>
          <w:p w14:paraId="0F76FB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提供运动治疗建议：建议每周≥150-300分钟中强度有氧运动，联合≥2次抗阻训练，但</w:t>
            </w:r>
            <w:r>
              <w:rPr>
                <w:rFonts w:hint="default" w:ascii="Times New Roman" w:hAnsi="Times New Roman" w:eastAsia="宋体" w:cs="Times New Roman"/>
                <w:kern w:val="0"/>
                <w:sz w:val="21"/>
                <w:szCs w:val="20"/>
                <w:vertAlign w:val="baseline"/>
                <w:lang w:val="en-US" w:eastAsia="zh-CN" w:bidi="ar-SA"/>
              </w:rPr>
              <w:t>计划需个体化，</w:t>
            </w:r>
            <w:r>
              <w:rPr>
                <w:rFonts w:hint="eastAsia" w:ascii="Times New Roman" w:hAnsi="Times New Roman" w:eastAsia="宋体" w:cs="Times New Roman"/>
                <w:kern w:val="0"/>
                <w:sz w:val="21"/>
                <w:szCs w:val="20"/>
                <w:vertAlign w:val="baseline"/>
                <w:lang w:val="en-US" w:eastAsia="zh-CN" w:bidi="ar-SA"/>
              </w:rPr>
              <w:t>定期</w:t>
            </w:r>
            <w:r>
              <w:rPr>
                <w:rFonts w:hint="default" w:ascii="Times New Roman" w:hAnsi="Times New Roman" w:eastAsia="宋体" w:cs="Times New Roman"/>
                <w:kern w:val="0"/>
                <w:sz w:val="21"/>
                <w:szCs w:val="20"/>
                <w:vertAlign w:val="baseline"/>
                <w:lang w:val="en-US" w:eastAsia="zh-CN" w:bidi="ar-SA"/>
              </w:rPr>
              <w:t>评估并发症相关风险。</w:t>
            </w:r>
          </w:p>
        </w:tc>
      </w:tr>
      <w:tr w14:paraId="042F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2DAFDC2C">
            <w:pPr>
              <w:pStyle w:val="10"/>
              <w:widowControl w:val="0"/>
              <w:spacing w:line="360" w:lineRule="auto"/>
              <w:ind w:firstLine="420" w:firstLineChars="200"/>
              <w:jc w:val="center"/>
              <w:outlineLvl w:val="9"/>
              <w:rPr>
                <w:rFonts w:ascii="Times New Roman"/>
                <w:vertAlign w:val="baseline"/>
              </w:rPr>
            </w:pPr>
          </w:p>
        </w:tc>
        <w:tc>
          <w:tcPr>
            <w:tcW w:w="2138" w:type="dxa"/>
            <w:vMerge w:val="restart"/>
            <w:tcBorders>
              <w:top w:val="nil"/>
              <w:left w:val="nil"/>
              <w:bottom w:val="nil"/>
              <w:right w:val="nil"/>
            </w:tcBorders>
            <w:vAlign w:val="center"/>
          </w:tcPr>
          <w:p w14:paraId="79C496A0">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药物治疗</w:t>
            </w:r>
          </w:p>
        </w:tc>
        <w:tc>
          <w:tcPr>
            <w:tcW w:w="5542" w:type="dxa"/>
            <w:tcBorders>
              <w:top w:val="nil"/>
              <w:left w:val="nil"/>
              <w:bottom w:val="nil"/>
              <w:right w:val="nil"/>
            </w:tcBorders>
            <w:vAlign w:val="top"/>
          </w:tcPr>
          <w:p w14:paraId="3027D8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口服降糖药：要根据作用机制选择合适药物，</w:t>
            </w:r>
            <w:r>
              <w:rPr>
                <w:rFonts w:hint="default" w:ascii="Times New Roman" w:hAnsi="Times New Roman" w:eastAsia="宋体" w:cs="Times New Roman"/>
                <w:kern w:val="0"/>
                <w:sz w:val="21"/>
                <w:szCs w:val="20"/>
                <w:vertAlign w:val="baseline"/>
                <w:lang w:val="en-US" w:eastAsia="zh-CN" w:bidi="ar-SA"/>
              </w:rPr>
              <w:t>建议早期合理联合作用机制互补的药物。</w:t>
            </w:r>
          </w:p>
        </w:tc>
      </w:tr>
      <w:tr w14:paraId="2075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0F2A68DB">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5797A425">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3A3DE3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胰岛素及肠促胰素类药物应用：适时进行胰岛素治疗，</w:t>
            </w:r>
            <w:r>
              <w:rPr>
                <w:rFonts w:hint="default" w:ascii="Times New Roman" w:hAnsi="Times New Roman" w:eastAsia="宋体" w:cs="Times New Roman"/>
                <w:kern w:val="0"/>
                <w:sz w:val="21"/>
                <w:szCs w:val="20"/>
                <w:vertAlign w:val="baseline"/>
                <w:lang w:val="en-US" w:eastAsia="zh-CN" w:bidi="ar-SA"/>
              </w:rPr>
              <w:t>GLP-1RA适用于合并ASCVD、心衰或肥胖的T2DM患者。</w:t>
            </w:r>
          </w:p>
        </w:tc>
      </w:tr>
      <w:tr w14:paraId="457C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0C2C0F28">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70090D4E">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体重综合管理</w:t>
            </w:r>
          </w:p>
        </w:tc>
        <w:tc>
          <w:tcPr>
            <w:tcW w:w="5542" w:type="dxa"/>
            <w:tcBorders>
              <w:top w:val="nil"/>
              <w:left w:val="nil"/>
              <w:bottom w:val="nil"/>
              <w:right w:val="nil"/>
            </w:tcBorders>
            <w:vAlign w:val="top"/>
          </w:tcPr>
          <w:p w14:paraId="14A5D6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实施体重综合管理策略：初始目标</w:t>
            </w:r>
            <w:r>
              <w:rPr>
                <w:rFonts w:hint="eastAsia" w:ascii="Times New Roman" w:hAnsi="Times New Roman" w:cs="Times New Roman"/>
                <w:kern w:val="0"/>
                <w:sz w:val="21"/>
                <w:szCs w:val="20"/>
                <w:vertAlign w:val="baseline"/>
                <w:lang w:val="en-US" w:eastAsia="zh-CN" w:bidi="ar-SA"/>
              </w:rPr>
              <w:t>为</w:t>
            </w:r>
            <w:r>
              <w:rPr>
                <w:rFonts w:hint="eastAsia" w:ascii="Times New Roman" w:hAnsi="Times New Roman" w:eastAsia="宋体" w:cs="Times New Roman"/>
                <w:kern w:val="0"/>
                <w:sz w:val="21"/>
                <w:szCs w:val="20"/>
                <w:vertAlign w:val="baseline"/>
                <w:lang w:val="en-US" w:eastAsia="zh-CN" w:bidi="ar-SA"/>
              </w:rPr>
              <w:t>通过生活方式干预减重≥5%</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效果不佳时，优先选用兼具减重作用的降糖药。</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cs="Times New Roman"/>
                <w:kern w:val="0"/>
                <w:sz w:val="21"/>
                <w:szCs w:val="20"/>
                <w:vertAlign w:val="baseline"/>
                <w:lang w:val="en-US" w:eastAsia="zh-CN" w:bidi="ar-SA"/>
              </w:rPr>
              <w:t>对于</w:t>
            </w:r>
            <w:r>
              <w:rPr>
                <w:rFonts w:hint="default" w:ascii="Times New Roman" w:hAnsi="Times New Roman" w:eastAsia="宋体" w:cs="Times New Roman"/>
                <w:kern w:val="0"/>
                <w:sz w:val="21"/>
                <w:szCs w:val="20"/>
                <w:vertAlign w:val="baseline"/>
                <w:lang w:val="en-US" w:eastAsia="zh-CN" w:bidi="ar-SA"/>
              </w:rPr>
              <w:t>重度肥胖且药物控制不佳者，可评估代谢手术。</w:t>
            </w:r>
          </w:p>
        </w:tc>
      </w:tr>
      <w:tr w14:paraId="135B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1EDE467C">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vMerge w:val="restart"/>
            <w:tcBorders>
              <w:top w:val="nil"/>
              <w:left w:val="nil"/>
              <w:bottom w:val="nil"/>
              <w:right w:val="nil"/>
            </w:tcBorders>
            <w:vAlign w:val="center"/>
          </w:tcPr>
          <w:p w14:paraId="4A0EB642">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生活方式核心干预</w:t>
            </w:r>
          </w:p>
        </w:tc>
        <w:tc>
          <w:tcPr>
            <w:tcW w:w="5542" w:type="dxa"/>
            <w:tcBorders>
              <w:top w:val="nil"/>
              <w:left w:val="nil"/>
              <w:bottom w:val="nil"/>
              <w:right w:val="nil"/>
            </w:tcBorders>
            <w:vAlign w:val="top"/>
          </w:tcPr>
          <w:p w14:paraId="71D18CA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医学营养治疗原则：饮食干预应遵循个体化能量平衡与营养素优化分配原则。碳水化合物供能比45%-60%，优先选择低升糖指数食物，限制添加糖；脂肪供能比≤35%，鼓励不饱和脂肪酸，限制饱和与反式脂肪酸；蛋白质供能比15%-20%，保证优质蛋白，肾功能受损者需调整；保证膳食纤维与微量营养素摄入；推荐规律进餐，定时定量，可据需采取少食多餐。</w:t>
            </w:r>
          </w:p>
        </w:tc>
      </w:tr>
      <w:tr w14:paraId="6A16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589EB44C">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top"/>
          </w:tcPr>
          <w:p w14:paraId="521129C9">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7ED023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规律运动方案：建议成年患者每周累计≥150分钟中等强度有氧运动，并联合每周2-3次抗阻训练；运动需循序渐进、持之以恒，运动前评估风险，运动中及运动后监测血糖变化。</w:t>
            </w:r>
          </w:p>
        </w:tc>
      </w:tr>
      <w:tr w14:paraId="078D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33F408C5">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05779955">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心理社会支持与自我管理赋能</w:t>
            </w:r>
          </w:p>
        </w:tc>
        <w:tc>
          <w:tcPr>
            <w:tcW w:w="5542" w:type="dxa"/>
            <w:tcBorders>
              <w:top w:val="nil"/>
              <w:left w:val="nil"/>
              <w:bottom w:val="nil"/>
              <w:right w:val="nil"/>
            </w:tcBorders>
            <w:vAlign w:val="top"/>
          </w:tcPr>
          <w:p w14:paraId="0C29E1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心理支持干预：定期评估患者心理状态，对焦虑、抑郁等问题提供专业支持；可采用认知行为疗法、正念减压等技术；鼓励建立病友支持团体。</w:t>
            </w:r>
          </w:p>
        </w:tc>
      </w:tr>
      <w:tr w14:paraId="63CE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2D5DC4C2">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049D1ACD">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222810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自我管理能力建设：教育指导患者掌握自我血糖监测与记录技能；指导患者进行规范的药物管理，提高依从性；帮助患者掌握基本的膳食计划与食物选择能力。</w:t>
            </w:r>
          </w:p>
        </w:tc>
      </w:tr>
      <w:tr w14:paraId="3E0F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45183064">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1508D3D4">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特殊人群康复干预</w:t>
            </w:r>
          </w:p>
        </w:tc>
        <w:tc>
          <w:tcPr>
            <w:tcW w:w="5542" w:type="dxa"/>
            <w:tcBorders>
              <w:top w:val="nil"/>
              <w:left w:val="nil"/>
              <w:bottom w:val="nil"/>
              <w:right w:val="nil"/>
            </w:tcBorders>
            <w:vAlign w:val="top"/>
          </w:tcPr>
          <w:p w14:paraId="53697B3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特殊人群干预调整：老年患者需综合考量认知功能、预期寿命及合并症，优先安全性，避免严重低血糖，运动以安全、低强度为主；妊娠期高血糖女性需制定严格血糖控制目标与监测计划，营养方案应保证母胎需求，运动评估胎儿安全性；I型糖尿病患者干预核心在于实现胰岛素剂量、碳水化合物摄入与体力活动的精细平衡，重点教育识别与预防酮症酸中毒。</w:t>
            </w:r>
          </w:p>
        </w:tc>
      </w:tr>
      <w:tr w14:paraId="0CAE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6200FDD8">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69C7633E">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干预效果评估与方案调整</w:t>
            </w:r>
          </w:p>
        </w:tc>
        <w:tc>
          <w:tcPr>
            <w:tcW w:w="5542" w:type="dxa"/>
            <w:tcBorders>
              <w:top w:val="nil"/>
              <w:left w:val="nil"/>
              <w:bottom w:val="nil"/>
              <w:right w:val="nil"/>
            </w:tcBorders>
            <w:vAlign w:val="top"/>
          </w:tcPr>
          <w:p w14:paraId="7650A4A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效果评估与动态调整：应定期（如每3-6个月）综合评估患者代谢指标、自我管理行为改善程度、生命质量及心理状态；根据评估结果对干预方案进行动态、个体化的调整与优化。</w:t>
            </w:r>
          </w:p>
        </w:tc>
      </w:tr>
      <w:tr w14:paraId="319A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2DF2415A">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vMerge w:val="restart"/>
            <w:tcBorders>
              <w:top w:val="nil"/>
              <w:left w:val="nil"/>
              <w:bottom w:val="nil"/>
              <w:right w:val="nil"/>
            </w:tcBorders>
            <w:vAlign w:val="center"/>
          </w:tcPr>
          <w:p w14:paraId="0F8EA1DD">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核心护理措施</w:t>
            </w:r>
          </w:p>
        </w:tc>
        <w:tc>
          <w:tcPr>
            <w:tcW w:w="5542" w:type="dxa"/>
            <w:tcBorders>
              <w:top w:val="nil"/>
              <w:left w:val="nil"/>
              <w:bottom w:val="nil"/>
              <w:right w:val="nil"/>
            </w:tcBorders>
            <w:vAlign w:val="top"/>
          </w:tcPr>
          <w:p w14:paraId="719394D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患者与家庭健康教育：系统讲解疾病本质、类型、临床表现、治疗目标及并发症，为自我管理奠定知识基础。</w:t>
            </w:r>
          </w:p>
        </w:tc>
      </w:tr>
      <w:tr w14:paraId="3C88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EC6D2A6">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19FEF73">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28886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自我管理技能指导：指导患者规范进行血糖自我监测与记录；依据个体化医学营养治疗原则指导饮食，指导制定并执行规律、安全的运动计划（有氧结合抗阻）；指导患者理解口服药物与胰岛素的作用、用法、不良反应及注意事项，并教授正确的胰岛素注射技术</w:t>
            </w:r>
            <w:r>
              <w:rPr>
                <w:rFonts w:hint="eastAsia" w:ascii="Times New Roman" w:hAnsi="Times New Roman" w:eastAsia="宋体" w:cs="Times New Roman"/>
                <w:kern w:val="0"/>
                <w:sz w:val="21"/>
                <w:szCs w:val="20"/>
                <w:vertAlign w:val="baseline"/>
                <w:lang w:val="en-US" w:eastAsia="zh-CN" w:bidi="ar-SA"/>
              </w:rPr>
              <w:t>。</w:t>
            </w:r>
          </w:p>
        </w:tc>
      </w:tr>
      <w:tr w14:paraId="626D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497A9310">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1F6FC526">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287653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并发症的预防性护理：实施标准化的足部护理教育（每日清洗检查、正确修剪趾甲、穿着合适鞋袜）并强调每年专业足部评估；督促并协助患者遵医嘱完成视网膜、肾脏、神经病变及心血管风险的定期筛查。</w:t>
            </w:r>
          </w:p>
        </w:tc>
      </w:tr>
      <w:tr w14:paraId="09FD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FCC9703">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51922AF0">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不同照护场景下的护理重点</w:t>
            </w:r>
          </w:p>
        </w:tc>
        <w:tc>
          <w:tcPr>
            <w:tcW w:w="5542" w:type="dxa"/>
            <w:tcBorders>
              <w:top w:val="nil"/>
              <w:left w:val="nil"/>
              <w:bottom w:val="nil"/>
              <w:right w:val="nil"/>
            </w:tcBorders>
            <w:vAlign w:val="top"/>
          </w:tcPr>
          <w:p w14:paraId="454010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居家/社区照护：重点为强化自我管理与家庭支持，包括确保家庭配备必要监测设备与急救物品；培训家属识别与处理低血糖等急性事件；利用通讯或数字工具进行远程随访与指导。</w:t>
            </w:r>
          </w:p>
        </w:tc>
      </w:tr>
      <w:tr w14:paraId="515D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1CB8B58">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1A083CD">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34CBB8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医疗机构照护：侧重于系统化、专业化管理与安全防护，包括入住时全面评估；由护理人员严格执行医嘱、监督用药、定时监测生命体征与血糖；在医生主导下与多学科团队协同制定执行个体化计划；重点防范低血糖导致的跌倒等安全风险。</w:t>
            </w:r>
          </w:p>
        </w:tc>
      </w:tr>
      <w:tr w14:paraId="1E70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62B76D7">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087C3EB9">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急性并发症的识别与紧急处理</w:t>
            </w:r>
          </w:p>
        </w:tc>
        <w:tc>
          <w:tcPr>
            <w:tcW w:w="5542" w:type="dxa"/>
            <w:tcBorders>
              <w:top w:val="nil"/>
              <w:left w:val="nil"/>
              <w:bottom w:val="nil"/>
              <w:right w:val="nil"/>
            </w:tcBorders>
            <w:vAlign w:val="top"/>
          </w:tcPr>
          <w:p w14:paraId="136DC26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低血糖的识别与处理：识别心慌、出汗、颤抖、头晕、意识改变等症状；意识清醒者立即口服15-20克葡萄糖，意识障碍者需立即就医并严禁经口喂食。</w:t>
            </w:r>
          </w:p>
        </w:tc>
      </w:tr>
      <w:tr w14:paraId="187B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1D0FE8A6">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DC4980D">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59E3FA0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高血糖危象的识别与处理：识别极度口渴、多尿、恶心呕吐、深大呼吸、烂苹果味呼吸及意识障碍等征象；属于急危重症，必须立即启动紧急医疗转运。</w:t>
            </w:r>
          </w:p>
        </w:tc>
      </w:tr>
      <w:tr w14:paraId="7D85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6120B49C">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06CA7E38">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慢性并发症的监测与风险管理</w:t>
            </w:r>
          </w:p>
        </w:tc>
        <w:tc>
          <w:tcPr>
            <w:tcW w:w="5542" w:type="dxa"/>
            <w:tcBorders>
              <w:top w:val="nil"/>
              <w:left w:val="nil"/>
              <w:right w:val="nil"/>
            </w:tcBorders>
            <w:vAlign w:val="top"/>
          </w:tcPr>
          <w:p w14:paraId="7C36A98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长期监测计划：建立并落实慢性并发症长期监测计划，核心包括按指南频率进行眼底检查、尿白蛋白/肌酐比值测定、足部及神经病变筛查；对合并高血压、血脂异常的患者实施严格的血压与血脂管理。</w:t>
            </w:r>
          </w:p>
        </w:tc>
      </w:tr>
    </w:tbl>
    <w:p w14:paraId="47DA9C87">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p>
    <w:p w14:paraId="1E35F635">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6 肺癌服务技术分级建设规范编制    </w:t>
      </w:r>
    </w:p>
    <w:p w14:paraId="566CABE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6.1 描述  </w:t>
      </w:r>
    </w:p>
    <w:p w14:paraId="67F43E3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肺癌服务技术分级建设规范旨在建立一个融合早诊早筛、精准分型治疗、全程康复与安宁疗护的现代肿瘤防治技术体系。本规范通过分级技术架构，着力推动肺癌诊疗的规范化、个体化与多学科协作，提升早期诊断率、治疗疗效和患者生存质量。</w:t>
      </w:r>
    </w:p>
    <w:p w14:paraId="56A3933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6.2.1 一级技术</w:t>
      </w:r>
    </w:p>
    <w:p w14:paraId="5E056863">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设置6个一级技术模块：预防干预、早期筛查、分级管理、规范治疗、功能康复、长期护理。该框架体现了肺癌的三级预防、临床诊疗全程及终末期照护。</w:t>
      </w:r>
    </w:p>
    <w:p w14:paraId="22E04122">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6.2.2 二级技术</w:t>
      </w:r>
    </w:p>
    <w:p w14:paraId="4A81C1EB">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共设置14个二级技术节点，反映肺癌防控的关键领域。包括一级预防、二级预防、三级预防、高危人群筛查、管理原则与随访框架、分期随访管理、非小细胞肺癌分期治疗策略、小细胞肺癌治疗策略、放化疗期间支持性康复、长期康复与慢性期管理、干预评估与调整、治疗期护理、康复期与社区/居家照护、终末期安宁疗护。</w:t>
      </w:r>
    </w:p>
    <w:p w14:paraId="3FCEC5E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6.2.3 三级技术</w:t>
      </w:r>
    </w:p>
    <w:p w14:paraId="5BCFB0C6">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三级技术共20项，聚焦于关键技术操作与管理节点。具体内容见表6。</w:t>
      </w:r>
    </w:p>
    <w:p w14:paraId="0445EA6E">
      <w:pPr>
        <w:pStyle w:val="10"/>
        <w:spacing w:line="360" w:lineRule="auto"/>
        <w:ind w:firstLine="422"/>
        <w:jc w:val="center"/>
        <w:outlineLvl w:val="9"/>
        <w:rPr>
          <w:rFonts w:hint="eastAsia" w:ascii="Times New Roman"/>
        </w:rPr>
      </w:pPr>
      <w:r>
        <w:rPr>
          <w:rFonts w:hint="eastAsia" w:ascii="Times New Roman"/>
          <w:b/>
          <w:bCs/>
        </w:rPr>
        <w:t xml:space="preserve">表 </w:t>
      </w:r>
      <w:r>
        <w:rPr>
          <w:rFonts w:hint="eastAsia" w:ascii="Times New Roman"/>
          <w:b/>
          <w:bCs/>
          <w:lang w:val="en-US" w:eastAsia="zh-CN"/>
        </w:rPr>
        <w:t>6</w:t>
      </w:r>
      <w:r>
        <w:rPr>
          <w:rFonts w:hint="eastAsia" w:ascii="Times New Roman"/>
          <w:b/>
          <w:bCs/>
        </w:rPr>
        <w:t xml:space="preserve">  </w:t>
      </w:r>
      <w:r>
        <w:rPr>
          <w:rFonts w:hint="eastAsia" w:ascii="Times New Roman"/>
          <w:b/>
          <w:bCs/>
          <w:lang w:val="en-US" w:eastAsia="zh-CN"/>
        </w:rPr>
        <w:t>肺癌“防、筛、管、治、康、护”服务技术标准体系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69ED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06406972">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r>
              <w:rPr>
                <w:rFonts w:hint="eastAsia" w:ascii="宋体" w:hAnsi="宋体" w:eastAsia="宋体" w:cs="宋体"/>
                <w:b/>
                <w:bCs/>
                <w:i w:val="0"/>
                <w:iCs w:val="0"/>
                <w:color w:val="000000"/>
                <w:kern w:val="0"/>
                <w:sz w:val="21"/>
                <w:szCs w:val="21"/>
                <w:u w:val="none"/>
                <w:lang w:val="en-US" w:eastAsia="zh-CN" w:bidi="ar"/>
              </w:rPr>
              <w:t>模块</w:t>
            </w:r>
          </w:p>
        </w:tc>
        <w:tc>
          <w:tcPr>
            <w:tcW w:w="2138" w:type="dxa"/>
            <w:tcBorders>
              <w:left w:val="nil"/>
              <w:bottom w:val="single" w:color="auto" w:sz="4" w:space="0"/>
              <w:right w:val="nil"/>
            </w:tcBorders>
            <w:vAlign w:val="top"/>
          </w:tcPr>
          <w:p w14:paraId="7BA104CC">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二级技术节点</w:t>
            </w:r>
          </w:p>
        </w:tc>
        <w:tc>
          <w:tcPr>
            <w:tcW w:w="5542" w:type="dxa"/>
            <w:tcBorders>
              <w:left w:val="nil"/>
              <w:bottom w:val="single" w:color="auto" w:sz="4" w:space="0"/>
              <w:right w:val="nil"/>
            </w:tcBorders>
            <w:vAlign w:val="top"/>
          </w:tcPr>
          <w:p w14:paraId="2E4DE31E">
            <w:pPr>
              <w:keepNext w:val="0"/>
              <w:keepLines w:val="0"/>
              <w:widowControl/>
              <w:suppressLineNumbers w:val="0"/>
              <w:jc w:val="center"/>
              <w:textAlignment w:val="center"/>
              <w:outlineLvl w:val="9"/>
              <w:rPr>
                <w:rFonts w:hint="default" w:ascii="Times New Roman"/>
                <w:vertAlign w:val="baseline"/>
                <w:lang w:val="en-US"/>
              </w:rPr>
            </w:pPr>
            <w:r>
              <w:rPr>
                <w:rFonts w:hint="eastAsia" w:ascii="宋体" w:hAnsi="宋体" w:eastAsia="宋体" w:cs="宋体"/>
                <w:b/>
                <w:bCs/>
                <w:i w:val="0"/>
                <w:iCs w:val="0"/>
                <w:color w:val="000000"/>
                <w:kern w:val="0"/>
                <w:sz w:val="21"/>
                <w:szCs w:val="21"/>
                <w:u w:val="none"/>
                <w:lang w:val="en-US" w:eastAsia="zh-CN" w:bidi="ar"/>
              </w:rPr>
              <w:t>三级技术</w:t>
            </w:r>
            <w:r>
              <w:rPr>
                <w:rFonts w:hint="eastAsia" w:ascii="宋体" w:hAnsi="宋体" w:cs="宋体"/>
                <w:b/>
                <w:bCs/>
                <w:i w:val="0"/>
                <w:iCs w:val="0"/>
                <w:color w:val="000000"/>
                <w:kern w:val="0"/>
                <w:sz w:val="21"/>
                <w:szCs w:val="21"/>
                <w:u w:val="none"/>
                <w:lang w:val="en-US" w:eastAsia="zh-CN" w:bidi="ar"/>
              </w:rPr>
              <w:t>内容</w:t>
            </w:r>
          </w:p>
        </w:tc>
      </w:tr>
      <w:tr w14:paraId="0015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3FEF9054">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3E053CA9">
            <w:pPr>
              <w:pStyle w:val="10"/>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一级预防</w:t>
            </w:r>
          </w:p>
        </w:tc>
        <w:tc>
          <w:tcPr>
            <w:tcW w:w="5542" w:type="dxa"/>
            <w:tcBorders>
              <w:top w:val="single" w:color="auto" w:sz="4" w:space="0"/>
              <w:left w:val="nil"/>
              <w:bottom w:val="nil"/>
              <w:right w:val="nil"/>
            </w:tcBorders>
          </w:tcPr>
          <w:p w14:paraId="2E78CCC5">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病因预防与控制：主要包括控制吸烟</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减少环境污染</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警惕室内油烟</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保持健康饮食与心理</w:t>
            </w:r>
            <w:r>
              <w:rPr>
                <w:rFonts w:hint="eastAsia" w:asci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做好职业防护。</w:t>
            </w:r>
          </w:p>
        </w:tc>
      </w:tr>
      <w:tr w14:paraId="359C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9B795DC">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2D4DFD1F">
            <w:pPr>
              <w:pStyle w:val="10"/>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二级预防</w:t>
            </w:r>
          </w:p>
        </w:tc>
        <w:tc>
          <w:tcPr>
            <w:tcW w:w="5542" w:type="dxa"/>
            <w:tcBorders>
              <w:top w:val="nil"/>
              <w:left w:val="nil"/>
              <w:bottom w:val="nil"/>
              <w:right w:val="nil"/>
            </w:tcBorders>
          </w:tcPr>
          <w:p w14:paraId="61AEFF51">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早诊早治：核心是早期发现、诊断与治疗。需提高全民防癌保健意识与对肺癌危害性的认识，以增强及早就诊的意识。</w:t>
            </w:r>
          </w:p>
        </w:tc>
      </w:tr>
      <w:tr w14:paraId="7EF2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0" w:type="dxa"/>
            <w:vMerge w:val="continue"/>
            <w:tcBorders>
              <w:top w:val="nil"/>
              <w:left w:val="nil"/>
              <w:bottom w:val="nil"/>
              <w:right w:val="nil"/>
            </w:tcBorders>
            <w:vAlign w:val="center"/>
          </w:tcPr>
          <w:p w14:paraId="19CAE5C2">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6C178B93">
            <w:pPr>
              <w:pStyle w:val="10"/>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三级预防</w:t>
            </w:r>
          </w:p>
        </w:tc>
        <w:tc>
          <w:tcPr>
            <w:tcW w:w="5542" w:type="dxa"/>
            <w:tcBorders>
              <w:top w:val="nil"/>
              <w:left w:val="nil"/>
              <w:bottom w:val="nil"/>
              <w:right w:val="nil"/>
            </w:tcBorders>
          </w:tcPr>
          <w:p w14:paraId="0CEEC79E">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规范治疗与康复：确诊患者需接受多学科综合治疗；早期肺癌优先选择胸腔镜肺段切除术，中晚期采用化疗联合免疫治疗；靶向治疗前需进行基因检测，使用中需监测耐药性。</w:t>
            </w:r>
          </w:p>
        </w:tc>
      </w:tr>
      <w:tr w14:paraId="3EAF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0D128E70">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vMerge w:val="restart"/>
            <w:tcBorders>
              <w:top w:val="nil"/>
              <w:left w:val="nil"/>
              <w:bottom w:val="nil"/>
              <w:right w:val="nil"/>
            </w:tcBorders>
            <w:vAlign w:val="center"/>
          </w:tcPr>
          <w:p w14:paraId="6B816183">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382E0D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高风险人群界定：年龄45-74岁，且至少符合吸烟指数≥20包年（含戒烟&lt;15年者）、长期被动吸烟&gt;20年、患有慢阻肺病、有特定职业暴露史≥1年或一级亲属有肺癌史中任一项者。</w:t>
            </w:r>
          </w:p>
        </w:tc>
      </w:tr>
      <w:tr w14:paraId="4F04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ACE3E5B">
            <w:pPr>
              <w:pStyle w:val="10"/>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652E5C83">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p>
        </w:tc>
        <w:tc>
          <w:tcPr>
            <w:tcW w:w="5542" w:type="dxa"/>
            <w:tcBorders>
              <w:top w:val="nil"/>
              <w:left w:val="nil"/>
              <w:bottom w:val="nil"/>
              <w:right w:val="nil"/>
            </w:tcBorders>
          </w:tcPr>
          <w:p w14:paraId="3FDF9F5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筛查技术与方法：推荐采用低剂量螺旋CT，实施前必须进行充分的知情告知。必要时采取</w:t>
            </w:r>
            <w:r>
              <w:rPr>
                <w:rFonts w:hint="default" w:ascii="Times New Roman" w:hAnsi="Times New Roman" w:eastAsia="宋体" w:cs="Times New Roman"/>
                <w:kern w:val="0"/>
                <w:sz w:val="21"/>
                <w:szCs w:val="20"/>
                <w:vertAlign w:val="baseline"/>
                <w:lang w:val="en-US" w:eastAsia="zh-CN" w:bidi="ar-SA"/>
              </w:rPr>
              <w:t>辅助与补充检查技术：包括对可疑中央型病变行支气管镜检查；对高危个体可考虑荧光支气管镜检查；可应用经认证的人工智能辅助诊断；肺癌相关自身抗体检测可作为结节风险分层的参考。</w:t>
            </w:r>
          </w:p>
        </w:tc>
      </w:tr>
      <w:tr w14:paraId="3DF6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627A28D">
            <w:pPr>
              <w:pStyle w:val="10"/>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417589FF">
            <w:pPr>
              <w:pStyle w:val="10"/>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52C8B6D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eastAsia="宋体"/>
                <w:color w:val="0000FF"/>
                <w:vertAlign w:val="baseline"/>
                <w:lang w:val="en-US" w:eastAsia="zh-CN"/>
              </w:rPr>
            </w:pPr>
            <w:r>
              <w:rPr>
                <w:rFonts w:hint="eastAsia" w:ascii="Times New Roman" w:hAnsi="Times New Roman" w:eastAsia="宋体" w:cs="Times New Roman"/>
                <w:kern w:val="0"/>
                <w:sz w:val="21"/>
                <w:szCs w:val="20"/>
                <w:vertAlign w:val="baseline"/>
                <w:lang w:val="en-US" w:eastAsia="zh-CN" w:bidi="ar-SA"/>
              </w:rPr>
              <w:t>筛查实施流程：按照初筛评估、LDCT检查、结果判读、阳性结节管理及随访间隔流程严格执行。</w:t>
            </w:r>
          </w:p>
        </w:tc>
      </w:tr>
      <w:tr w14:paraId="034A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77D42A62">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0D40BBA9">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tcBorders>
              <w:top w:val="nil"/>
              <w:left w:val="nil"/>
              <w:bottom w:val="nil"/>
              <w:right w:val="nil"/>
            </w:tcBorders>
            <w:vAlign w:val="center"/>
          </w:tcPr>
          <w:p w14:paraId="72215766">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管理原则与随访框架</w:t>
            </w:r>
          </w:p>
        </w:tc>
        <w:tc>
          <w:tcPr>
            <w:tcW w:w="5542" w:type="dxa"/>
            <w:tcBorders>
              <w:top w:val="nil"/>
              <w:left w:val="nil"/>
              <w:bottom w:val="nil"/>
              <w:right w:val="nil"/>
            </w:tcBorders>
            <w:vAlign w:val="top"/>
          </w:tcPr>
          <w:p w14:paraId="1159D36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基本管理原则：依据确诊分期与治疗方式制定策略；纳入长期规律随访并动态调整；每次随访均需进行症状、体格、影像及实验室检查在内的综合评估；持续提供戒烟、营养、心理及症状管理等支持性干预。</w:t>
            </w:r>
          </w:p>
        </w:tc>
      </w:tr>
      <w:tr w14:paraId="5556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08AA3BF">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5400B8C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6DD43E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分期随访管理</w:t>
            </w:r>
          </w:p>
          <w:p w14:paraId="0A7CC06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E7BD40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根治性治疗患者的随访（适用于I-II期及部分III期术后/放疗后无症状者）：第1-3年每3-6个月随访，包括戒烟评估、病史体检、胸部CT；第4-5年每年随访1次，项目同前；5年后每年随访1次，项目包括戒烟评估、病史体检及低剂量非增强胸部CT。</w:t>
            </w:r>
          </w:p>
        </w:tc>
      </w:tr>
      <w:tr w14:paraId="6D4C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47BADB7">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9EDF3BE">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79B5051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局部晚期非小细胞肺癌放化疗后的随访（适用于不可手术III期完成根治性放化疗后无症状者）：常规每8-12周随访，包括病史体检、胸腹部增强CT，临床试验者遵循方案；出现新发或加重症状时立即安排症状驱动随访与检查。</w:t>
            </w:r>
          </w:p>
        </w:tc>
      </w:tr>
      <w:tr w14:paraId="2F0B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DCF6EDD">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FDA67E7">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77D82B3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晚期非小细胞肺癌系统治疗后的随访（适用于IV期阶段性全身治疗后无症状者）：常规每8-12周随访，包括病史体检、胸腹部增强CT，有脑/骨转移史者需定期复查脑MRI及骨扫描，临床试验者遵循方案；任何新发或加重症状均需立即评估并启动必要的检查。</w:t>
            </w:r>
          </w:p>
        </w:tc>
      </w:tr>
      <w:tr w14:paraId="4611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06B44BBF">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vMerge w:val="restart"/>
            <w:tcBorders>
              <w:top w:val="nil"/>
              <w:left w:val="nil"/>
              <w:bottom w:val="nil"/>
              <w:right w:val="nil"/>
            </w:tcBorders>
            <w:vAlign w:val="center"/>
          </w:tcPr>
          <w:p w14:paraId="1B33DCF1">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非小细胞肺癌分期治疗策略</w:t>
            </w:r>
          </w:p>
        </w:tc>
        <w:tc>
          <w:tcPr>
            <w:tcW w:w="5542" w:type="dxa"/>
            <w:tcBorders>
              <w:top w:val="nil"/>
              <w:left w:val="nil"/>
              <w:bottom w:val="nil"/>
              <w:right w:val="nil"/>
            </w:tcBorders>
            <w:vAlign w:val="top"/>
          </w:tcPr>
          <w:p w14:paraId="75A8DF3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早期治疗：对于Ⅰ、Ⅱ期患者，外科手术根治性切除（优先考虑解剖性肺叶切除加系统性淋巴结清扫）是首选局部治疗方式，目标为实现R0切除。</w:t>
            </w:r>
          </w:p>
        </w:tc>
      </w:tr>
      <w:tr w14:paraId="51A1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550" w:type="dxa"/>
            <w:vMerge w:val="continue"/>
            <w:tcBorders>
              <w:top w:val="nil"/>
              <w:left w:val="nil"/>
              <w:bottom w:val="nil"/>
              <w:right w:val="nil"/>
            </w:tcBorders>
            <w:vAlign w:val="center"/>
          </w:tcPr>
          <w:p w14:paraId="56260EC2">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71A31FB">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3C7DCD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局部晚期治疗：核心在于精准评估肿瘤的“可切除性”。对可切除或潜在可切除肿瘤，推荐以手术为主的综合治疗（含新辅助/辅助治疗）；对不可切除肿瘤，根治性同步放化疗是标准治疗模式。</w:t>
            </w:r>
          </w:p>
        </w:tc>
      </w:tr>
      <w:tr w14:paraId="038B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CCBE681">
            <w:pPr>
              <w:pStyle w:val="10"/>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291D4A1">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3AA0AE6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晚期治疗：以全身性药物治疗为主，目标是控制疾病、缓解症状、延长生存及改善生命质量。治疗前必须完成病理亚型及关键驱动基因、PD-L1检测，并据其结果与PS评分个体化选择靶向治疗、免疫治疗或化学治疗（含铂双药方案为基础）。</w:t>
            </w:r>
          </w:p>
        </w:tc>
      </w:tr>
      <w:tr w14:paraId="6296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BCBCAEF">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2EE84F74">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小细胞肺癌治疗策略</w:t>
            </w:r>
          </w:p>
        </w:tc>
        <w:tc>
          <w:tcPr>
            <w:tcW w:w="5542" w:type="dxa"/>
            <w:tcBorders>
              <w:top w:val="nil"/>
              <w:left w:val="nil"/>
              <w:bottom w:val="nil"/>
              <w:right w:val="nil"/>
            </w:tcBorders>
            <w:vAlign w:val="top"/>
          </w:tcPr>
          <w:p w14:paraId="601FC7D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分期治疗：主要依据分期制定。局限期以同步放化疗为主，部分极早期可考虑手术；广泛期则以系统化疗联合免疫治疗为主要模式。</w:t>
            </w:r>
          </w:p>
        </w:tc>
      </w:tr>
      <w:tr w14:paraId="4B14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628C84B3">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tcBorders>
              <w:top w:val="nil"/>
              <w:left w:val="nil"/>
              <w:bottom w:val="nil"/>
              <w:right w:val="nil"/>
            </w:tcBorders>
            <w:vAlign w:val="center"/>
          </w:tcPr>
          <w:p w14:paraId="2FCBAADB">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cs="Times New Roman"/>
                <w:kern w:val="0"/>
                <w:sz w:val="21"/>
                <w:szCs w:val="20"/>
                <w:vertAlign w:val="baseline"/>
                <w:lang w:val="en-US" w:eastAsia="zh-CN" w:bidi="ar-SA"/>
              </w:rPr>
              <w:t>治疗</w:t>
            </w:r>
            <w:r>
              <w:rPr>
                <w:rFonts w:hint="eastAsia" w:ascii="Times New Roman" w:hAnsi="Times New Roman" w:eastAsia="宋体" w:cs="Times New Roman"/>
                <w:kern w:val="0"/>
                <w:sz w:val="21"/>
                <w:szCs w:val="20"/>
                <w:vertAlign w:val="baseline"/>
                <w:lang w:val="en-US" w:eastAsia="zh-CN" w:bidi="ar-SA"/>
              </w:rPr>
              <w:t>期间支持性康复</w:t>
            </w:r>
          </w:p>
        </w:tc>
        <w:tc>
          <w:tcPr>
            <w:tcW w:w="5542" w:type="dxa"/>
            <w:tcBorders>
              <w:top w:val="nil"/>
              <w:left w:val="nil"/>
              <w:bottom w:val="nil"/>
              <w:right w:val="nil"/>
            </w:tcBorders>
            <w:vAlign w:val="top"/>
          </w:tcPr>
          <w:p w14:paraId="3F2C9C1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短期支持性康复：以减轻副作用、维持功能为核心。指导规律呼吸训练；鼓励进行适度有氧与抗阻运动；提供营养支持与水分补充，并对治疗相关不良反应进行对症管理。</w:t>
            </w:r>
          </w:p>
        </w:tc>
      </w:tr>
      <w:tr w14:paraId="32A9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60DF9C5D">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2F7BD8AC">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长期康复与慢性期管理</w:t>
            </w:r>
          </w:p>
        </w:tc>
        <w:tc>
          <w:tcPr>
            <w:tcW w:w="5542" w:type="dxa"/>
            <w:tcBorders>
              <w:top w:val="nil"/>
              <w:left w:val="nil"/>
              <w:bottom w:val="nil"/>
              <w:right w:val="nil"/>
            </w:tcBorders>
            <w:vAlign w:val="top"/>
          </w:tcPr>
          <w:p w14:paraId="4F0FC46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长期系统性康复：聚焦于功能恢复与长期健康。实施个体化肺功能康复与运动训练</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优化营养与生活方式；严格遵医嘱定期复查</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酌情应用中医康复技术</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提供社会心理支持</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整合远程与社区康复资源。</w:t>
            </w:r>
          </w:p>
        </w:tc>
      </w:tr>
      <w:tr w14:paraId="2304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0BAC8E41">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2DB2AD4E">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干预评估与调整</w:t>
            </w:r>
          </w:p>
        </w:tc>
        <w:tc>
          <w:tcPr>
            <w:tcW w:w="5542" w:type="dxa"/>
            <w:tcBorders>
              <w:top w:val="nil"/>
              <w:left w:val="nil"/>
              <w:bottom w:val="nil"/>
              <w:right w:val="nil"/>
            </w:tcBorders>
            <w:vAlign w:val="top"/>
          </w:tcPr>
          <w:p w14:paraId="36C059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效果评估与动态调整：定期评估所有康复措施的效果与安全性，并根据患者情况动态调整计划。</w:t>
            </w:r>
          </w:p>
        </w:tc>
      </w:tr>
      <w:tr w14:paraId="4D30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314F6F39">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tcBorders>
              <w:top w:val="nil"/>
              <w:left w:val="nil"/>
              <w:bottom w:val="nil"/>
              <w:right w:val="nil"/>
            </w:tcBorders>
            <w:vAlign w:val="center"/>
          </w:tcPr>
          <w:p w14:paraId="513A27C7">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治疗期护理</w:t>
            </w:r>
          </w:p>
        </w:tc>
        <w:tc>
          <w:tcPr>
            <w:tcW w:w="5542" w:type="dxa"/>
            <w:tcBorders>
              <w:top w:val="nil"/>
              <w:left w:val="nil"/>
              <w:bottom w:val="nil"/>
              <w:right w:val="nil"/>
            </w:tcBorders>
            <w:vAlign w:val="top"/>
          </w:tcPr>
          <w:p w14:paraId="3D2F36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color w:val="0000FF"/>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治疗支持与并发症管理：聚焦于支持患者完成抗肿瘤治疗。包括维护呼吸功能与气道管理</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实施疼痛综合管理</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监测与干预治疗相关不良事件</w:t>
            </w:r>
            <w:r>
              <w:rPr>
                <w:rFonts w:hint="eastAsia" w:ascii="Times New Roman" w:hAns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提供营养与代谢支持。</w:t>
            </w:r>
          </w:p>
        </w:tc>
      </w:tr>
      <w:tr w14:paraId="3D63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357DBD56">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4E7F7CE5">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康复期与社区/居家照护</w:t>
            </w:r>
          </w:p>
        </w:tc>
        <w:tc>
          <w:tcPr>
            <w:tcW w:w="5542" w:type="dxa"/>
            <w:tcBorders>
              <w:top w:val="nil"/>
              <w:left w:val="nil"/>
              <w:bottom w:val="nil"/>
              <w:right w:val="nil"/>
            </w:tcBorders>
            <w:vAlign w:val="top"/>
          </w:tcPr>
          <w:p w14:paraId="1E91FF2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长期功能恢复与支持：重点在于促进功能恢复与提高自我管理能力。包括督导个体化康复训练</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构建心理社会支持体系</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落实长期随访与复发监测</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加强用药安全教育。</w:t>
            </w:r>
          </w:p>
        </w:tc>
      </w:tr>
      <w:tr w14:paraId="275A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1B82D958">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76480106">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终末期安宁疗护</w:t>
            </w:r>
          </w:p>
        </w:tc>
        <w:tc>
          <w:tcPr>
            <w:tcW w:w="5542" w:type="dxa"/>
            <w:tcBorders>
              <w:top w:val="nil"/>
              <w:left w:val="nil"/>
              <w:right w:val="nil"/>
            </w:tcBorders>
            <w:vAlign w:val="top"/>
          </w:tcPr>
          <w:p w14:paraId="0EF6CA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舒缓疗护与人文关怀：护理目标转向症状控制与舒适照护。包括优化控制难治性症状</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实施基础舒适护理</w:t>
            </w:r>
            <w:r>
              <w:rPr>
                <w:rFonts w:hint="eastAsia" w:ascii="Times New Roman" w:hAns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提供以患者及家庭为中心的关怀与沟通支持。</w:t>
            </w:r>
          </w:p>
        </w:tc>
      </w:tr>
    </w:tbl>
    <w:p w14:paraId="760889E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p>
    <w:p w14:paraId="7253B3F9">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7 慢阻肺服务技术分级建设规范编制    </w:t>
      </w:r>
    </w:p>
    <w:p w14:paraId="51C3A774">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 xml:space="preserve">7.1 描述  </w:t>
      </w:r>
    </w:p>
    <w:p w14:paraId="40E4769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慢性阻塞性肺疾病服务技术分级建设规范旨在构建一个强调早期识别、稳定期规范管理、急性加重期有效干预以及肺康复贯穿始终的呼吸慢病管理技术体系。本规范通过技术分级，推动慢阻肺的筛查诊断下沉基层、治疗康复规范化、长期管理个性化，旨在控制症状、减少急性加重、改善患者功能状态。</w:t>
      </w:r>
    </w:p>
    <w:p w14:paraId="4D51B48E">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7.2.1 一级技术</w:t>
      </w:r>
    </w:p>
    <w:p w14:paraId="2EA96D25">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设置6个一级技术模块：预防干预、早期筛查、分级管理、规范治疗、功能康复、长期护理。该框架体现了肺癌的三级预防、临床诊疗全程及终末期照护。</w:t>
      </w:r>
    </w:p>
    <w:p w14:paraId="699943A3">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7.2.2 二级技术</w:t>
      </w:r>
    </w:p>
    <w:p w14:paraId="702F57E8">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共设置17个二级技术节点，覆盖慢阻肺管理的核心方面。包括一级预防、二级预防、三级预防、健康教育、高危人群筛查、筛查后处理、诊断与评估、分级诊疗与转诊、长期随访与综合评估、药物治疗、吸入装置选择与使用指导、非药物治疗、中医肺康复技术、技术应用、稳定期护理、急性加重期护理、心理与社会支持。</w:t>
      </w:r>
    </w:p>
    <w:p w14:paraId="08D603C2">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7.2.3 三级技术</w:t>
      </w:r>
    </w:p>
    <w:p w14:paraId="322D7DAA">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lang w:val="en-US" w:eastAsia="zh-CN"/>
        </w:rPr>
      </w:pPr>
      <w:r>
        <w:rPr>
          <w:rFonts w:hint="eastAsia" w:ascii="仿宋_GB2312" w:hAnsi="仿宋_GB2312" w:eastAsia="仿宋_GB2312" w:cs="仿宋_GB2312"/>
          <w:color w:val="auto"/>
          <w:szCs w:val="32"/>
          <w:shd w:val="clear" w:color="auto" w:fill="FFFFFF"/>
          <w:lang w:val="en-US" w:eastAsia="zh-CN"/>
        </w:rPr>
        <w:t>共27个三级指标。具体内容见表7。</w:t>
      </w:r>
    </w:p>
    <w:p w14:paraId="1FD203DA">
      <w:pPr>
        <w:pStyle w:val="10"/>
        <w:spacing w:line="360" w:lineRule="auto"/>
        <w:ind w:firstLine="422"/>
        <w:jc w:val="center"/>
        <w:outlineLvl w:val="9"/>
        <w:rPr>
          <w:rFonts w:hint="eastAsia" w:ascii="Times New Roman"/>
        </w:rPr>
      </w:pPr>
      <w:r>
        <w:rPr>
          <w:rFonts w:hint="eastAsia" w:ascii="Times New Roman"/>
          <w:b/>
          <w:bCs/>
        </w:rPr>
        <w:t xml:space="preserve">表 </w:t>
      </w:r>
      <w:r>
        <w:rPr>
          <w:rFonts w:hint="eastAsia" w:ascii="Times New Roman"/>
          <w:b/>
          <w:bCs/>
          <w:lang w:val="en-US" w:eastAsia="zh-CN"/>
        </w:rPr>
        <w:t>7</w:t>
      </w:r>
      <w:r>
        <w:rPr>
          <w:rFonts w:hint="eastAsia" w:ascii="Times New Roman"/>
          <w:b/>
          <w:bCs/>
        </w:rPr>
        <w:t xml:space="preserve">  </w:t>
      </w:r>
      <w:r>
        <w:rPr>
          <w:rFonts w:hint="eastAsia" w:ascii="Times New Roman"/>
          <w:b/>
          <w:bCs/>
          <w:lang w:val="en-US" w:eastAsia="zh-CN"/>
        </w:rPr>
        <w:t>慢性阻塞性肺疾病“防、筛、管、治、康、护”服务技术标准体系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4F92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1DD556E5">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r>
              <w:rPr>
                <w:rFonts w:hint="eastAsia" w:ascii="宋体" w:hAnsi="宋体" w:eastAsia="宋体" w:cs="宋体"/>
                <w:b/>
                <w:bCs/>
                <w:i w:val="0"/>
                <w:iCs w:val="0"/>
                <w:color w:val="000000"/>
                <w:kern w:val="0"/>
                <w:sz w:val="21"/>
                <w:szCs w:val="21"/>
                <w:u w:val="none"/>
                <w:lang w:val="en-US" w:eastAsia="zh-CN" w:bidi="ar"/>
              </w:rPr>
              <w:t>模块</w:t>
            </w:r>
          </w:p>
        </w:tc>
        <w:tc>
          <w:tcPr>
            <w:tcW w:w="2138" w:type="dxa"/>
            <w:tcBorders>
              <w:left w:val="nil"/>
              <w:bottom w:val="single" w:color="auto" w:sz="4" w:space="0"/>
              <w:right w:val="nil"/>
            </w:tcBorders>
            <w:vAlign w:val="top"/>
          </w:tcPr>
          <w:p w14:paraId="20BE40C8">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二级技术节点</w:t>
            </w:r>
          </w:p>
        </w:tc>
        <w:tc>
          <w:tcPr>
            <w:tcW w:w="5542" w:type="dxa"/>
            <w:tcBorders>
              <w:left w:val="nil"/>
              <w:bottom w:val="single" w:color="auto" w:sz="4" w:space="0"/>
              <w:right w:val="nil"/>
            </w:tcBorders>
            <w:vAlign w:val="top"/>
          </w:tcPr>
          <w:p w14:paraId="26F077A5">
            <w:pPr>
              <w:keepNext w:val="0"/>
              <w:keepLines w:val="0"/>
              <w:widowControl/>
              <w:suppressLineNumbers w:val="0"/>
              <w:jc w:val="center"/>
              <w:textAlignment w:val="center"/>
              <w:outlineLvl w:val="9"/>
              <w:rPr>
                <w:rFonts w:hint="default" w:ascii="Times New Roman"/>
                <w:vertAlign w:val="baseline"/>
                <w:lang w:val="en-US"/>
              </w:rPr>
            </w:pPr>
            <w:r>
              <w:rPr>
                <w:rFonts w:hint="eastAsia" w:ascii="宋体" w:hAnsi="宋体" w:eastAsia="宋体" w:cs="宋体"/>
                <w:b/>
                <w:bCs/>
                <w:i w:val="0"/>
                <w:iCs w:val="0"/>
                <w:color w:val="000000"/>
                <w:kern w:val="0"/>
                <w:sz w:val="21"/>
                <w:szCs w:val="21"/>
                <w:u w:val="none"/>
                <w:lang w:val="en-US" w:eastAsia="zh-CN" w:bidi="ar"/>
              </w:rPr>
              <w:t>三级技术</w:t>
            </w:r>
            <w:r>
              <w:rPr>
                <w:rFonts w:hint="eastAsia" w:ascii="宋体" w:hAnsi="宋体" w:cs="宋体"/>
                <w:b/>
                <w:bCs/>
                <w:i w:val="0"/>
                <w:iCs w:val="0"/>
                <w:color w:val="000000"/>
                <w:kern w:val="0"/>
                <w:sz w:val="21"/>
                <w:szCs w:val="21"/>
                <w:u w:val="none"/>
                <w:lang w:val="en-US" w:eastAsia="zh-CN" w:bidi="ar"/>
              </w:rPr>
              <w:t>内容</w:t>
            </w:r>
          </w:p>
        </w:tc>
      </w:tr>
      <w:tr w14:paraId="2B6D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1286B093">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7965B6A4">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一级预防</w:t>
            </w:r>
          </w:p>
        </w:tc>
        <w:tc>
          <w:tcPr>
            <w:tcW w:w="5542" w:type="dxa"/>
            <w:tcBorders>
              <w:top w:val="single" w:color="auto" w:sz="4" w:space="0"/>
              <w:left w:val="nil"/>
              <w:bottom w:val="nil"/>
              <w:right w:val="nil"/>
            </w:tcBorders>
          </w:tcPr>
          <w:p w14:paraId="6BE0874C">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病因预防：主要包括戒烟与避免二手烟、改善空气质量、增强免疫力和进行预防接种。</w:t>
            </w:r>
          </w:p>
        </w:tc>
      </w:tr>
      <w:tr w14:paraId="0BB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F5BBC00">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4E59BAA5">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二级预防</w:t>
            </w:r>
          </w:p>
        </w:tc>
        <w:tc>
          <w:tcPr>
            <w:tcW w:w="5542" w:type="dxa"/>
            <w:tcBorders>
              <w:top w:val="nil"/>
              <w:left w:val="nil"/>
              <w:bottom w:val="nil"/>
              <w:right w:val="nil"/>
            </w:tcBorders>
          </w:tcPr>
          <w:p w14:paraId="53BF1EF8">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早发现早诊早治：核心是早发现、早诊断、早治疗。</w:t>
            </w:r>
          </w:p>
        </w:tc>
      </w:tr>
      <w:tr w14:paraId="4A35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0" w:type="dxa"/>
            <w:vMerge w:val="continue"/>
            <w:tcBorders>
              <w:top w:val="nil"/>
              <w:left w:val="nil"/>
              <w:bottom w:val="nil"/>
              <w:right w:val="nil"/>
            </w:tcBorders>
            <w:vAlign w:val="center"/>
          </w:tcPr>
          <w:p w14:paraId="1AE290D9">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7ABF991B">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三级预防</w:t>
            </w:r>
          </w:p>
        </w:tc>
        <w:tc>
          <w:tcPr>
            <w:tcW w:w="5542" w:type="dxa"/>
            <w:tcBorders>
              <w:top w:val="nil"/>
              <w:left w:val="nil"/>
              <w:bottom w:val="nil"/>
              <w:right w:val="nil"/>
            </w:tcBorders>
          </w:tcPr>
          <w:p w14:paraId="7AA0755A">
            <w:pPr>
              <w:pStyle w:val="10"/>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疾病管理与康复：主要包括定期体检、规范治疗、防止伤残、促进功能恢复。</w:t>
            </w:r>
          </w:p>
        </w:tc>
      </w:tr>
      <w:tr w14:paraId="6A46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1550" w:type="dxa"/>
            <w:vMerge w:val="continue"/>
            <w:tcBorders>
              <w:top w:val="nil"/>
              <w:left w:val="nil"/>
              <w:bottom w:val="nil"/>
              <w:right w:val="nil"/>
            </w:tcBorders>
            <w:vAlign w:val="center"/>
          </w:tcPr>
          <w:p w14:paraId="305EDC3B">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23E7131C">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健康教育</w:t>
            </w:r>
          </w:p>
        </w:tc>
        <w:tc>
          <w:tcPr>
            <w:tcW w:w="5542" w:type="dxa"/>
            <w:tcBorders>
              <w:top w:val="nil"/>
              <w:left w:val="nil"/>
              <w:bottom w:val="nil"/>
              <w:right w:val="nil"/>
            </w:tcBorders>
          </w:tcPr>
          <w:p w14:paraId="6E42BCD4">
            <w:pPr>
              <w:pStyle w:val="4"/>
              <w:keepNext w:val="0"/>
              <w:keepLines w:val="0"/>
              <w:widowControl/>
              <w:suppressLineNumbers w:val="0"/>
              <w:spacing w:before="107" w:beforeAutospacing="0" w:after="0" w:afterAutospacing="0" w:line="360" w:lineRule="auto"/>
              <w:ind w:left="0" w:right="0"/>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患者知识教育与技能培训：教育与督促戒烟，讲解疾病基础知识，指导正确使用吸入装置，培训自我控制病情的技巧，告知就诊时机。</w:t>
            </w:r>
          </w:p>
        </w:tc>
      </w:tr>
      <w:tr w14:paraId="4ABC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449DEAC">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vMerge w:val="restart"/>
            <w:tcBorders>
              <w:top w:val="nil"/>
              <w:left w:val="nil"/>
              <w:bottom w:val="nil"/>
              <w:right w:val="nil"/>
            </w:tcBorders>
            <w:vAlign w:val="center"/>
          </w:tcPr>
          <w:p w14:paraId="25123743">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670C973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高危人群界定：年龄≥35岁，且符合至少一项危险因素，如吸烟或二手烟暴露、慢性呼吸系统疾病史、家族史、空气污染或职业暴露、反复呼吸道感染史、不良生活环境史、特定疾病史或营养状况不良等。</w:t>
            </w:r>
          </w:p>
        </w:tc>
      </w:tr>
      <w:tr w14:paraId="1A5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FEA4E3E">
            <w:pPr>
              <w:pStyle w:val="10"/>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5BE1C8C9">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p>
        </w:tc>
        <w:tc>
          <w:tcPr>
            <w:tcW w:w="5542" w:type="dxa"/>
            <w:tcBorders>
              <w:top w:val="nil"/>
              <w:left w:val="nil"/>
              <w:bottom w:val="nil"/>
              <w:right w:val="nil"/>
            </w:tcBorders>
          </w:tcPr>
          <w:p w14:paraId="172BAF4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问卷筛查：推荐使用《慢性阻塞性肺疾病筛查问卷》进行初步筛查，总分≥16分判定为阳性</w:t>
            </w:r>
            <w:r>
              <w:rPr>
                <w:rFonts w:hint="default" w:ascii="Times New Roman" w:hAnsi="Times New Roman" w:eastAsia="宋体" w:cs="Times New Roman"/>
                <w:kern w:val="0"/>
                <w:sz w:val="21"/>
                <w:szCs w:val="20"/>
                <w:vertAlign w:val="baseline"/>
                <w:lang w:val="en-US" w:eastAsia="zh-CN" w:bidi="ar-SA"/>
              </w:rPr>
              <w:t>。</w:t>
            </w:r>
          </w:p>
        </w:tc>
      </w:tr>
      <w:tr w14:paraId="27C8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B4438E8">
            <w:pPr>
              <w:pStyle w:val="10"/>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0B2B1C9">
            <w:pPr>
              <w:pStyle w:val="10"/>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6B206A1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影像学提示者的筛查：对影像检查发现肺部结构性异常者，应结合危险因素与症状评估，并推荐进行肺功能检查。</w:t>
            </w:r>
          </w:p>
        </w:tc>
      </w:tr>
      <w:tr w14:paraId="719A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0996E50">
            <w:pPr>
              <w:pStyle w:val="10"/>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6673A7AA">
            <w:pPr>
              <w:pStyle w:val="10"/>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筛查后处理</w:t>
            </w:r>
          </w:p>
        </w:tc>
        <w:tc>
          <w:tcPr>
            <w:tcW w:w="5542" w:type="dxa"/>
            <w:tcBorders>
              <w:top w:val="nil"/>
              <w:left w:val="nil"/>
              <w:bottom w:val="nil"/>
              <w:right w:val="nil"/>
            </w:tcBorders>
          </w:tcPr>
          <w:p w14:paraId="6A0E5EB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阳性结果管理：筛查阳性或影像学提示异常者，应转介至有资质的医疗机构，通过肺功能检查等规范程序明确诊断。</w:t>
            </w:r>
          </w:p>
        </w:tc>
      </w:tr>
      <w:tr w14:paraId="181C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42CE6CF">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14813A28">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7C43B047">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诊断与评估</w:t>
            </w:r>
          </w:p>
        </w:tc>
        <w:tc>
          <w:tcPr>
            <w:tcW w:w="5542" w:type="dxa"/>
            <w:tcBorders>
              <w:top w:val="nil"/>
              <w:left w:val="nil"/>
              <w:bottom w:val="nil"/>
              <w:right w:val="nil"/>
            </w:tcBorders>
            <w:vAlign w:val="top"/>
          </w:tcPr>
          <w:p w14:paraId="4E4D86E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综合诊断依据：临床诊断应基于危险因素暴露史、典型临床症状及肺功能检查证实的气流受限（FEV1/FVC &lt; 0.70）。</w:t>
            </w:r>
          </w:p>
        </w:tc>
      </w:tr>
      <w:tr w14:paraId="03B5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3DF5002A">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continue"/>
            <w:tcBorders>
              <w:top w:val="nil"/>
              <w:left w:val="nil"/>
              <w:bottom w:val="nil"/>
              <w:right w:val="nil"/>
            </w:tcBorders>
            <w:vAlign w:val="center"/>
          </w:tcPr>
          <w:p w14:paraId="7F729D93">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44FDABD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基层诊断路径：基层医疗机构通过筛查识别疑似患者，并建立转诊机制以完成肺功能确诊。</w:t>
            </w:r>
          </w:p>
        </w:tc>
      </w:tr>
      <w:tr w14:paraId="7AF1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30AF266">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5B79BF4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分级诊疗与转诊</w:t>
            </w:r>
          </w:p>
        </w:tc>
        <w:tc>
          <w:tcPr>
            <w:tcW w:w="5542" w:type="dxa"/>
            <w:tcBorders>
              <w:top w:val="nil"/>
              <w:left w:val="nil"/>
              <w:bottom w:val="nil"/>
              <w:right w:val="nil"/>
            </w:tcBorders>
            <w:vAlign w:val="top"/>
          </w:tcPr>
          <w:p w14:paraId="1431664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患者管理流程：将患者纳入分级诊疗服务体系，执行从接诊评估到建立档案、实施长期管理的完整流程。</w:t>
            </w:r>
          </w:p>
        </w:tc>
      </w:tr>
      <w:tr w14:paraId="2521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760A70B9">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continue"/>
            <w:tcBorders>
              <w:top w:val="nil"/>
              <w:left w:val="nil"/>
              <w:bottom w:val="nil"/>
              <w:right w:val="nil"/>
            </w:tcBorders>
            <w:vAlign w:val="center"/>
          </w:tcPr>
          <w:p w14:paraId="04205C5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62A2B18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转诊指征：紧急转诊指征为中重度急性加重经处理无改善需住院者；常规转诊指征包括需明确诊断、症状控制不佳、频繁急性加重或需处理合并症/并发症的情况。</w:t>
            </w:r>
          </w:p>
        </w:tc>
      </w:tr>
      <w:tr w14:paraId="7A80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327BD050">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tcBorders>
              <w:top w:val="nil"/>
              <w:left w:val="nil"/>
              <w:bottom w:val="nil"/>
              <w:right w:val="nil"/>
            </w:tcBorders>
            <w:vAlign w:val="center"/>
          </w:tcPr>
          <w:p w14:paraId="778D4EB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长期随访与综合评估</w:t>
            </w:r>
          </w:p>
        </w:tc>
        <w:tc>
          <w:tcPr>
            <w:tcW w:w="5542" w:type="dxa"/>
            <w:tcBorders>
              <w:top w:val="nil"/>
              <w:left w:val="nil"/>
              <w:bottom w:val="nil"/>
              <w:right w:val="nil"/>
            </w:tcBorders>
            <w:vAlign w:val="top"/>
          </w:tcPr>
          <w:p w14:paraId="4B88AE0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定期评估执行：根据病情严重程度确定随访频率（重度及以上每6个月，轻中度每年），并进行全面评估。</w:t>
            </w:r>
            <w:r>
              <w:rPr>
                <w:rFonts w:hint="eastAsia" w:ascii="Times New Roman" w:hAnsi="Times New Roman" w:cs="Times New Roman"/>
                <w:kern w:val="0"/>
                <w:sz w:val="21"/>
                <w:szCs w:val="20"/>
                <w:vertAlign w:val="baseline"/>
                <w:lang w:val="en-US" w:eastAsia="zh-CN" w:bidi="ar-SA"/>
              </w:rPr>
              <w:t>评估内容</w:t>
            </w:r>
            <w:r>
              <w:rPr>
                <w:rFonts w:hint="eastAsia" w:ascii="Times New Roman" w:hAnsi="Times New Roman" w:eastAsia="宋体" w:cs="Times New Roman"/>
                <w:kern w:val="0"/>
                <w:sz w:val="21"/>
                <w:szCs w:val="20"/>
                <w:vertAlign w:val="baseline"/>
                <w:lang w:val="en-US" w:eastAsia="zh-CN" w:bidi="ar-SA"/>
              </w:rPr>
              <w:t>包括评估行为风险与治疗依从性、评估疾病状态（肺功能、急性加重、症状与运动耐量）、评估患者整体状况与合并症/并发症以及评估疾病认知与自我管理技能。</w:t>
            </w:r>
          </w:p>
        </w:tc>
      </w:tr>
      <w:tr w14:paraId="58B5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103670C">
            <w:pPr>
              <w:pStyle w:val="10"/>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tcBorders>
              <w:top w:val="nil"/>
              <w:left w:val="nil"/>
              <w:bottom w:val="nil"/>
              <w:right w:val="nil"/>
            </w:tcBorders>
            <w:vAlign w:val="center"/>
          </w:tcPr>
          <w:p w14:paraId="38CF1ED4">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药物治疗</w:t>
            </w:r>
          </w:p>
        </w:tc>
        <w:tc>
          <w:tcPr>
            <w:tcW w:w="5542" w:type="dxa"/>
            <w:tcBorders>
              <w:top w:val="nil"/>
              <w:left w:val="nil"/>
              <w:bottom w:val="nil"/>
              <w:right w:val="nil"/>
            </w:tcBorders>
            <w:vAlign w:val="top"/>
          </w:tcPr>
          <w:p w14:paraId="1631A66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应用：支气管舒张剂是症状管理的核心，优先选择吸入给药；对于有急性加重风险的特定患者，联合使用吸入性糖皮质激素具有重要意义，三联吸入治疗可能优于双联治疗；其他辅助治疗药物包括祛痰剂与抗氧化剂、PDE-4抑制剂及免疫调节剂，适用于特定情况以降低急性加重风险。</w:t>
            </w:r>
          </w:p>
        </w:tc>
      </w:tr>
      <w:tr w14:paraId="2DFD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20C1F5B0">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10A6AB19">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吸入装置选择与使用指导</w:t>
            </w:r>
          </w:p>
        </w:tc>
        <w:tc>
          <w:tcPr>
            <w:tcW w:w="5542" w:type="dxa"/>
            <w:tcBorders>
              <w:top w:val="nil"/>
              <w:left w:val="nil"/>
              <w:bottom w:val="nil"/>
              <w:right w:val="nil"/>
            </w:tcBorders>
            <w:vAlign w:val="top"/>
          </w:tcPr>
          <w:p w14:paraId="637978B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个体化选择与培训：依据患者的吸气能力、协调性、认知状态及偏好选择吸入装置（如pMDI、DPI、SMI）。所有患者均应在初始处方时接受并定期复核吸入技术的培训与指导。</w:t>
            </w:r>
          </w:p>
        </w:tc>
      </w:tr>
      <w:tr w14:paraId="690C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0A7D18E">
            <w:pPr>
              <w:pStyle w:val="10"/>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38A3D599">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非药物治疗</w:t>
            </w:r>
          </w:p>
        </w:tc>
        <w:tc>
          <w:tcPr>
            <w:tcW w:w="5542" w:type="dxa"/>
            <w:tcBorders>
              <w:top w:val="nil"/>
              <w:left w:val="nil"/>
              <w:bottom w:val="nil"/>
              <w:right w:val="nil"/>
            </w:tcBorders>
            <w:vAlign w:val="top"/>
          </w:tcPr>
          <w:p w14:paraId="638A723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综合非药物干预：包括全面的患者教育与自我管理支持；以戒烟为核心的危险因素控制；推荐定期接种流感疫苗与肺炎球菌疫苗；对症状明显的患者鼓励规律体力活动，对中重度呼吸困难患者强烈推荐结构化肺康复计划；对符合指征的患者实施长期氧疗或家庭无创通气。</w:t>
            </w:r>
          </w:p>
        </w:tc>
      </w:tr>
      <w:tr w14:paraId="1C6E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1A306722">
            <w:pPr>
              <w:pStyle w:val="10"/>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tcBorders>
              <w:top w:val="nil"/>
              <w:left w:val="nil"/>
              <w:bottom w:val="nil"/>
              <w:right w:val="nil"/>
            </w:tcBorders>
            <w:vAlign w:val="center"/>
          </w:tcPr>
          <w:p w14:paraId="5943FFE3">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中医肺康复技术</w:t>
            </w:r>
          </w:p>
        </w:tc>
        <w:tc>
          <w:tcPr>
            <w:tcW w:w="5542" w:type="dxa"/>
            <w:tcBorders>
              <w:top w:val="nil"/>
              <w:left w:val="nil"/>
              <w:bottom w:val="nil"/>
              <w:right w:val="nil"/>
            </w:tcBorders>
            <w:vAlign w:val="top"/>
          </w:tcPr>
          <w:p w14:paraId="1A2789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主</w:t>
            </w:r>
            <w:r>
              <w:rPr>
                <w:rFonts w:hint="default" w:ascii="Times New Roman" w:hAnsi="Times New Roman" w:eastAsia="宋体" w:cs="Times New Roman"/>
                <w:kern w:val="0"/>
                <w:sz w:val="21"/>
                <w:szCs w:val="20"/>
                <w:vertAlign w:val="baseline"/>
                <w:lang w:val="en-US" w:eastAsia="zh-CN" w:bidi="ar-SA"/>
              </w:rPr>
              <w:t>要技术措施</w:t>
            </w:r>
            <w:r>
              <w:rPr>
                <w:rFonts w:hint="eastAsia" w:ascii="Times New Roman" w:hAnsi="Times New Roman" w:eastAsia="宋体" w:cs="Times New Roman"/>
                <w:kern w:val="0"/>
                <w:sz w:val="21"/>
                <w:szCs w:val="20"/>
                <w:vertAlign w:val="baseline"/>
                <w:lang w:val="en-US" w:eastAsia="zh-CN" w:bidi="ar-SA"/>
              </w:rPr>
              <w:t>：</w:t>
            </w:r>
          </w:p>
          <w:p w14:paraId="50F164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①传统运动导引法：包括太极拳、八段锦、五禽戏、易筋经。</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②</w:t>
            </w:r>
            <w:r>
              <w:rPr>
                <w:rFonts w:hint="default" w:ascii="Times New Roman" w:hAnsi="Times New Roman" w:eastAsia="宋体" w:cs="Times New Roman"/>
                <w:kern w:val="0"/>
                <w:sz w:val="21"/>
                <w:szCs w:val="20"/>
                <w:vertAlign w:val="baseline"/>
                <w:lang w:val="en-US" w:eastAsia="zh-CN" w:bidi="ar-SA"/>
              </w:rPr>
              <w:t>呼吸吐纳训练法：如六字诀、呼吸引导术。</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③</w:t>
            </w:r>
            <w:r>
              <w:rPr>
                <w:rFonts w:hint="default" w:ascii="Times New Roman" w:hAnsi="Times New Roman" w:eastAsia="宋体" w:cs="Times New Roman"/>
                <w:kern w:val="0"/>
                <w:sz w:val="21"/>
                <w:szCs w:val="20"/>
                <w:vertAlign w:val="baseline"/>
                <w:lang w:val="en-US" w:eastAsia="zh-CN" w:bidi="ar-SA"/>
              </w:rPr>
              <w:t>中医外治技术：包括穴位敷贴、艾灸疗法、针刺疗法、穴位注射。</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④</w:t>
            </w:r>
            <w:r>
              <w:rPr>
                <w:rFonts w:hint="default" w:ascii="Times New Roman" w:hAnsi="Times New Roman" w:eastAsia="宋体" w:cs="Times New Roman"/>
                <w:kern w:val="0"/>
                <w:sz w:val="21"/>
                <w:szCs w:val="20"/>
                <w:vertAlign w:val="baseline"/>
                <w:lang w:val="en-US" w:eastAsia="zh-CN" w:bidi="ar-SA"/>
              </w:rPr>
              <w:t>食疗与膏方调养：进行个体化饮食药膳指导，必要时辨证开具膏方</w:t>
            </w:r>
          </w:p>
        </w:tc>
      </w:tr>
      <w:tr w14:paraId="00B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0EADF45B">
            <w:pPr>
              <w:pStyle w:val="10"/>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63B60C56">
            <w:pPr>
              <w:pStyle w:val="10"/>
              <w:widowControl w:val="0"/>
              <w:spacing w:line="360" w:lineRule="auto"/>
              <w:ind w:left="0" w:leftChars="0" w:firstLine="0" w:firstLineChars="0"/>
              <w:jc w:val="center"/>
              <w:outlineLvl w:val="9"/>
              <w:rPr>
                <w:rFonts w:hint="default" w:ascii="宋体" w:hAnsi="宋体" w:eastAsia="宋体" w:cs="宋体"/>
                <w:b w:val="0"/>
                <w:i w:val="0"/>
                <w:iCs w:val="0"/>
                <w:color w:val="000000"/>
                <w:kern w:val="0"/>
                <w:sz w:val="21"/>
                <w:szCs w:val="21"/>
                <w:u w:val="none"/>
                <w:lang w:val="en-US" w:eastAsia="zh-CN" w:bidi="ar"/>
              </w:rPr>
            </w:pPr>
            <w:r>
              <w:rPr>
                <w:rFonts w:hint="eastAsia" w:hAnsi="宋体" w:cs="宋体"/>
                <w:b w:val="0"/>
                <w:i w:val="0"/>
                <w:iCs w:val="0"/>
                <w:color w:val="000000"/>
                <w:kern w:val="0"/>
                <w:sz w:val="21"/>
                <w:szCs w:val="21"/>
                <w:u w:val="none"/>
                <w:lang w:val="en-US" w:eastAsia="zh-CN" w:bidi="ar"/>
              </w:rPr>
              <w:t>技术应用</w:t>
            </w:r>
          </w:p>
        </w:tc>
        <w:tc>
          <w:tcPr>
            <w:tcW w:w="5542" w:type="dxa"/>
            <w:tcBorders>
              <w:top w:val="nil"/>
              <w:left w:val="nil"/>
              <w:bottom w:val="nil"/>
              <w:right w:val="nil"/>
            </w:tcBorders>
            <w:vAlign w:val="top"/>
          </w:tcPr>
          <w:p w14:paraId="5C4A017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临床技术应用</w:t>
            </w:r>
            <w:r>
              <w:rPr>
                <w:rFonts w:hint="eastAsia" w:ascii="Times New Roman" w:hAnsi="Times New Roman" w:eastAsia="宋体" w:cs="Times New Roman"/>
                <w:kern w:val="0"/>
                <w:sz w:val="21"/>
                <w:szCs w:val="20"/>
                <w:vertAlign w:val="baseline"/>
                <w:lang w:val="en-US" w:eastAsia="zh-CN" w:bidi="ar-SA"/>
              </w:rPr>
              <w:t>：中医肺康复技术可作为现代康复方案的重要组成部分或替代选择，应根据患者病情、体能、个人意愿及中医辨证结果，选择一种或多种技术组合应用。</w:t>
            </w:r>
          </w:p>
        </w:tc>
      </w:tr>
      <w:tr w14:paraId="1290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0BC1E784">
            <w:pPr>
              <w:pStyle w:val="10"/>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vMerge w:val="restart"/>
            <w:tcBorders>
              <w:top w:val="nil"/>
              <w:left w:val="nil"/>
              <w:bottom w:val="nil"/>
              <w:right w:val="nil"/>
            </w:tcBorders>
            <w:vAlign w:val="center"/>
          </w:tcPr>
          <w:p w14:paraId="6C3819D5">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稳定期护理</w:t>
            </w:r>
          </w:p>
        </w:tc>
        <w:tc>
          <w:tcPr>
            <w:tcW w:w="5542" w:type="dxa"/>
            <w:tcBorders>
              <w:top w:val="nil"/>
              <w:left w:val="nil"/>
              <w:bottom w:val="nil"/>
              <w:right w:val="nil"/>
            </w:tcBorders>
            <w:vAlign w:val="top"/>
          </w:tcPr>
          <w:p w14:paraId="5B470BC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行为干预与环境控制：提供持续戒烟支持，指导避免接触各类刺激物；建议保持居住环境空气流通、温湿度适宜，注意防寒保暖。</w:t>
            </w:r>
          </w:p>
        </w:tc>
      </w:tr>
      <w:tr w14:paraId="4196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4D4153BB">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7B275A5D">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548501B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呼吸模式与功能训练：指导患者规律进行缩唇呼吸与腹式呼吸训练，以优化呼吸模式。</w:t>
            </w:r>
          </w:p>
        </w:tc>
      </w:tr>
      <w:tr w14:paraId="0097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171D9ECA">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23C82AB3">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2CFE29F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康复锻炼指导：鼓励患者在耐受范围内进行规律有氧运动与抗阻训练，积极推荐参与结构化肺康复项目。</w:t>
            </w:r>
          </w:p>
        </w:tc>
      </w:tr>
      <w:tr w14:paraId="76D3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4E4211BC">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44CD3BB">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0A9C5F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治疗依从性管理：反复指导并定期核查患者吸入装置使用技术，教育并监督患者长期规律用药。</w:t>
            </w:r>
          </w:p>
        </w:tc>
      </w:tr>
      <w:tr w14:paraId="7D2A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230EA8B0">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77BD214B">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50CF2E7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长期氧疗管理：指导符合指征的患者正确执行家庭氧疗，确保每日时长与流量达标，并掌握设备维护与安全知识。</w:t>
            </w:r>
          </w:p>
        </w:tc>
      </w:tr>
      <w:tr w14:paraId="5233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3B0FD8D4">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180FA32">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617D627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营养支持与监测：提供个体化高蛋白、高热量饮食指导，可建议少食多餐；定期评估BMI及营养状况。</w:t>
            </w:r>
          </w:p>
        </w:tc>
      </w:tr>
      <w:tr w14:paraId="2E61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1A97D462">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6D7EA560">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0A67D11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自我监测与定期随访：指导患者记录症状日记，并督促其按计划定期复诊与检查。</w:t>
            </w:r>
          </w:p>
        </w:tc>
      </w:tr>
      <w:tr w14:paraId="7B2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35114715">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5890FB2F">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急性加重期护理</w:t>
            </w:r>
          </w:p>
        </w:tc>
        <w:tc>
          <w:tcPr>
            <w:tcW w:w="5542" w:type="dxa"/>
            <w:tcBorders>
              <w:top w:val="nil"/>
              <w:left w:val="nil"/>
              <w:bottom w:val="nil"/>
              <w:right w:val="nil"/>
            </w:tcBorders>
            <w:vAlign w:val="top"/>
          </w:tcPr>
          <w:p w14:paraId="0CEB976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早期识别与紧急应对：教育患者及照护者识别急性加重关键征兆，并明确告知须立即启动应急联系与就医流程。</w:t>
            </w:r>
          </w:p>
        </w:tc>
      </w:tr>
      <w:tr w14:paraId="1AC52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60C9FDAD">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80351C5">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4472CD8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急性期支持性护理：在医疗机构内，根据血气结果实施控制性氧疗；确保患者及时接受医嘱的强化治疗；协助患者进行有效气道廓清。</w:t>
            </w:r>
          </w:p>
        </w:tc>
      </w:tr>
      <w:tr w14:paraId="0036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0CDF1DFD">
            <w:pPr>
              <w:pStyle w:val="10"/>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43B8E365">
            <w:pPr>
              <w:pStyle w:val="10"/>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心理与社会支持</w:t>
            </w:r>
          </w:p>
        </w:tc>
        <w:tc>
          <w:tcPr>
            <w:tcW w:w="5542" w:type="dxa"/>
            <w:tcBorders>
              <w:top w:val="nil"/>
              <w:left w:val="nil"/>
              <w:right w:val="nil"/>
            </w:tcBorders>
            <w:vAlign w:val="top"/>
          </w:tcPr>
          <w:p w14:paraId="43F40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全面支持体系构建：主动评估并提供心理疏导，必要时协助寻求专业干预；根据患者需求提供持续的疾病教育与技能培训；鼓励家庭参与，协助链接社区资源，维持社会交往。</w:t>
            </w:r>
          </w:p>
        </w:tc>
      </w:tr>
    </w:tbl>
    <w:p w14:paraId="0429FCF9">
      <w:pPr>
        <w:pStyle w:val="10"/>
        <w:spacing w:line="360" w:lineRule="auto"/>
        <w:ind w:firstLine="420"/>
        <w:jc w:val="left"/>
        <w:rPr>
          <w:rFonts w:hint="eastAsia" w:ascii="Times New Roman" w:hAnsi="Times New Roman" w:eastAsia="宋体" w:cs="Times New Roman"/>
          <w:kern w:val="0"/>
          <w:sz w:val="21"/>
          <w:szCs w:val="20"/>
          <w:vertAlign w:val="baseline"/>
          <w:lang w:val="en-US" w:eastAsia="zh-CN" w:bidi="ar-SA"/>
        </w:rPr>
      </w:pPr>
    </w:p>
    <w:p w14:paraId="502BF642">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default"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五</w:t>
      </w:r>
      <w:r>
        <w:rPr>
          <w:rFonts w:hint="eastAsia" w:ascii="Times New Roman" w:hAnsi="Times New Roman" w:eastAsia="黑体" w:cs="Times New Roman"/>
          <w:color w:val="auto"/>
          <w:sz w:val="32"/>
          <w:szCs w:val="32"/>
        </w:rPr>
        <w:t>、征求意见和采纳情况</w:t>
      </w:r>
      <w:r>
        <w:rPr>
          <w:rFonts w:hint="eastAsia" w:eastAsia="黑体" w:cs="Times New Roman"/>
          <w:color w:val="auto"/>
          <w:sz w:val="32"/>
          <w:szCs w:val="32"/>
          <w:lang w:eastAsia="zh-CN"/>
        </w:rPr>
        <w:t>、</w:t>
      </w:r>
      <w:r>
        <w:rPr>
          <w:rFonts w:hint="eastAsia" w:eastAsia="黑体" w:cs="Times New Roman"/>
          <w:color w:val="auto"/>
          <w:sz w:val="32"/>
          <w:szCs w:val="32"/>
          <w:lang w:val="en-US" w:eastAsia="zh-CN"/>
        </w:rPr>
        <w:t>不采纳的理由</w:t>
      </w:r>
    </w:p>
    <w:p w14:paraId="20E29BBD">
      <w:pPr>
        <w:keepNext w:val="0"/>
        <w:keepLines w:val="0"/>
        <w:pageBreakBefore w:val="0"/>
        <w:kinsoku/>
        <w:wordWrap/>
        <w:overflowPunct/>
        <w:topLinePunct w:val="0"/>
        <w:autoSpaceDE/>
        <w:autoSpaceDN/>
        <w:bidi w:val="0"/>
        <w:adjustRightInd/>
        <w:snapToGrid/>
        <w:spacing w:line="660" w:lineRule="exact"/>
        <w:ind w:firstLine="640" w:firstLineChars="200"/>
        <w:textAlignment w:val="auto"/>
        <w:rPr>
          <w:rFonts w:hint="default" w:ascii="仿宋_GB2312" w:hAnsi="仿宋_GB2312" w:eastAsia="仿宋_GB2312" w:cs="仿宋_GB2312"/>
          <w:color w:val="auto"/>
          <w:szCs w:val="32"/>
          <w:shd w:val="clear" w:color="auto" w:fill="FFFFFF"/>
          <w:lang w:val="en-US" w:eastAsia="zh-CN"/>
        </w:rPr>
      </w:pPr>
    </w:p>
    <w:p w14:paraId="73A13FB5">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lang w:val="en-US" w:eastAsia="zh-CN"/>
        </w:rPr>
        <w:t>六</w:t>
      </w:r>
      <w:r>
        <w:rPr>
          <w:rFonts w:hint="eastAsia" w:ascii="Times New Roman" w:hAnsi="Times New Roman" w:eastAsia="黑体" w:cs="Times New Roman"/>
          <w:color w:val="auto"/>
          <w:sz w:val="32"/>
          <w:szCs w:val="32"/>
        </w:rPr>
        <w:t>、重大意见分歧的处理结果和依据</w:t>
      </w:r>
    </w:p>
    <w:p w14:paraId="34C996E7">
      <w:pPr>
        <w:keepNext w:val="0"/>
        <w:keepLines w:val="0"/>
        <w:pageBreakBefore w:val="0"/>
        <w:widowControl/>
        <w:kinsoku/>
        <w:wordWrap/>
        <w:overflowPunct/>
        <w:topLinePunct w:val="0"/>
        <w:autoSpaceDE/>
        <w:autoSpaceDN/>
        <w:bidi w:val="0"/>
        <w:adjustRightInd/>
        <w:snapToGrid/>
        <w:spacing w:line="660" w:lineRule="exact"/>
        <w:ind w:firstLine="640" w:firstLineChars="200"/>
        <w:textAlignment w:val="auto"/>
        <w:rPr>
          <w:rFonts w:hint="eastAsia" w:ascii="仿宋_GB2312" w:hAnsi="仿宋_GB2312" w:eastAsia="仿宋_GB2312" w:cs="仿宋_GB2312"/>
          <w:color w:val="auto"/>
          <w:szCs w:val="32"/>
          <w:shd w:val="clear" w:color="auto" w:fill="FFFFFF"/>
        </w:rPr>
      </w:pPr>
    </w:p>
    <w:p w14:paraId="1410CB3E">
      <w:pPr>
        <w:keepNext w:val="0"/>
        <w:keepLines w:val="0"/>
        <w:pageBreakBefore w:val="0"/>
        <w:widowControl w:val="0"/>
        <w:kinsoku/>
        <w:wordWrap/>
        <w:overflowPunct/>
        <w:topLinePunct w:val="0"/>
        <w:autoSpaceDE/>
        <w:autoSpaceDN/>
        <w:bidi w:val="0"/>
        <w:adjustRightInd/>
        <w:snapToGrid/>
        <w:spacing w:line="660" w:lineRule="exact"/>
        <w:ind w:firstLine="641"/>
        <w:textAlignment w:val="auto"/>
        <w:outlineLvl w:val="0"/>
        <w:rPr>
          <w:rFonts w:hint="eastAsia" w:ascii="Times New Roman" w:hAnsi="Times New Roman" w:eastAsia="黑体" w:cs="Times New Roman"/>
          <w:color w:val="auto"/>
          <w:sz w:val="32"/>
          <w:szCs w:val="32"/>
        </w:rPr>
      </w:pPr>
      <w:r>
        <w:rPr>
          <w:rFonts w:hint="eastAsia" w:eastAsia="黑体" w:cs="Times New Roman"/>
          <w:color w:val="auto"/>
          <w:sz w:val="32"/>
          <w:szCs w:val="32"/>
          <w:lang w:val="en-US" w:eastAsia="zh-CN"/>
        </w:rPr>
        <w:t>七</w:t>
      </w:r>
      <w:r>
        <w:rPr>
          <w:rFonts w:hint="eastAsia" w:ascii="Times New Roman" w:hAnsi="Times New Roman" w:eastAsia="黑体" w:cs="Times New Roman"/>
          <w:color w:val="auto"/>
          <w:sz w:val="32"/>
          <w:szCs w:val="32"/>
          <w:lang w:eastAsia="zh-CN"/>
        </w:rPr>
        <w:t>、</w:t>
      </w:r>
      <w:r>
        <w:rPr>
          <w:rFonts w:hint="eastAsia" w:ascii="Times New Roman" w:hAnsi="Times New Roman" w:eastAsia="黑体" w:cs="Times New Roman"/>
          <w:color w:val="auto"/>
          <w:sz w:val="32"/>
          <w:szCs w:val="32"/>
        </w:rPr>
        <w:t>其他应予说明的事项</w:t>
      </w:r>
    </w:p>
    <w:p w14:paraId="6DDFB8EF">
      <w:pPr>
        <w:keepNext w:val="0"/>
        <w:keepLines w:val="0"/>
        <w:pageBreakBefore w:val="0"/>
        <w:widowControl/>
        <w:kinsoku/>
        <w:wordWrap/>
        <w:overflowPunct/>
        <w:topLinePunct w:val="0"/>
        <w:autoSpaceDE/>
        <w:autoSpaceDN/>
        <w:bidi w:val="0"/>
        <w:adjustRightInd/>
        <w:snapToGrid/>
        <w:spacing w:line="660" w:lineRule="exact"/>
        <w:ind w:firstLine="640" w:firstLineChars="200"/>
        <w:textAlignment w:val="auto"/>
        <w:rPr>
          <w:rFonts w:hint="eastAsia" w:ascii="Times New Roman" w:hAnsi="Times New Roman" w:eastAsia="黑体" w:cs="Times New Roman"/>
          <w:color w:val="auto"/>
          <w:sz w:val="32"/>
          <w:szCs w:val="32"/>
          <w:lang w:val="en-US" w:eastAsia="zh-CN"/>
        </w:rPr>
      </w:pPr>
    </w:p>
    <w:p w14:paraId="7EB924BD">
      <w:pPr>
        <w:spacing w:line="360" w:lineRule="auto"/>
        <w:jc w:val="right"/>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《重大慢病“防、筛、管、治、康、护”服务技术标准》起草小组</w:t>
      </w:r>
    </w:p>
    <w:p w14:paraId="2E93783A">
      <w:pPr>
        <w:spacing w:line="360" w:lineRule="auto"/>
        <w:jc w:val="right"/>
        <w:rPr>
          <w:rFonts w:hint="default"/>
          <w:color w:val="auto"/>
          <w:lang w:val="en-US" w:eastAsia="zh-CN"/>
        </w:rPr>
      </w:pPr>
      <w:r>
        <w:rPr>
          <w:rFonts w:hint="eastAsia" w:ascii="宋体" w:hAnsi="宋体" w:cs="宋体"/>
          <w:color w:val="auto"/>
          <w:sz w:val="28"/>
          <w:szCs w:val="28"/>
          <w:lang w:val="en-US" w:eastAsia="zh-CN"/>
        </w:rPr>
        <w:t>2026年1月12日</w:t>
      </w:r>
    </w:p>
    <w:p w14:paraId="3D0477CC">
      <w:pPr>
        <w:keepNext w:val="0"/>
        <w:keepLines w:val="0"/>
        <w:pageBreakBefore w:val="0"/>
        <w:widowControl/>
        <w:kinsoku/>
        <w:wordWrap/>
        <w:overflowPunct/>
        <w:topLinePunct w:val="0"/>
        <w:autoSpaceDE/>
        <w:autoSpaceDN/>
        <w:bidi w:val="0"/>
        <w:adjustRightInd/>
        <w:snapToGrid/>
        <w:spacing w:line="660" w:lineRule="exact"/>
        <w:ind w:firstLine="640" w:firstLineChars="200"/>
        <w:textAlignment w:val="auto"/>
        <w:rPr>
          <w:rFonts w:hint="eastAsia" w:ascii="Times New Roman" w:hAnsi="Times New Roman" w:eastAsia="黑体" w:cs="Times New Roman"/>
          <w:color w:val="auto"/>
          <w:sz w:val="32"/>
          <w:szCs w:val="32"/>
          <w:lang w:val="en-US" w:eastAsia="zh-CN"/>
        </w:rPr>
      </w:pPr>
    </w:p>
    <w:p w14:paraId="1655664B"/>
    <w:sectPr>
      <w:headerReference r:id="rId3" w:type="default"/>
      <w:footerReference r:id="rId4" w:type="default"/>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F9E3C7-1872-4F65-BFE0-4272C3F1B2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
    <w:altName w:val="仿宋"/>
    <w:panose1 w:val="00000000000000000000"/>
    <w:charset w:val="86"/>
    <w:family w:val="script"/>
    <w:pitch w:val="default"/>
    <w:sig w:usb0="00000000" w:usb1="00000000" w:usb2="00000000" w:usb3="00000000" w:csb0="00040000" w:csb1="00000000"/>
    <w:embedRegular r:id="rId2" w:fontKey="{BD20FD14-2A76-4EB4-8EDE-6B5E67B4E007}"/>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3" w:fontKey="{D46080E7-7CD2-4D17-8110-CABD5462CE3E}"/>
  </w:font>
  <w:font w:name="仿宋_GB2312">
    <w:altName w:val="仿宋"/>
    <w:panose1 w:val="02010609030101010101"/>
    <w:charset w:val="86"/>
    <w:family w:val="modern"/>
    <w:pitch w:val="default"/>
    <w:sig w:usb0="00000000" w:usb1="00000000" w:usb2="00000010" w:usb3="00000000" w:csb0="00040000" w:csb1="00000000"/>
    <w:embedRegular r:id="rId4" w:fontKey="{666AB244-4235-4E42-9A17-841B62BAF324}"/>
  </w:font>
  <w:font w:name="楷体_GB2312">
    <w:altName w:val="楷体"/>
    <w:panose1 w:val="02010609030101010101"/>
    <w:charset w:val="86"/>
    <w:family w:val="auto"/>
    <w:pitch w:val="default"/>
    <w:sig w:usb0="00000000" w:usb1="00000000" w:usb2="00000000" w:usb3="00000000" w:csb0="00040000" w:csb1="00000000"/>
    <w:embedRegular r:id="rId5" w:fontKey="{EA571018-D2A7-4202-AC19-39E511D2B601}"/>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6" w:fontKey="{4374E365-2DC3-4A86-8B16-244E4E114E48}"/>
  </w:font>
  <w:font w:name="KSOFE44F9426">
    <w:panose1 w:val="02010609060101010101"/>
    <w:charset w:val="86"/>
    <w:family w:val="auto"/>
    <w:pitch w:val="default"/>
    <w:sig w:usb0="00000001" w:usb1="00000000" w:usb2="00000000" w:usb3="00000000" w:csb0="00040001" w:csb1="00000000"/>
  </w:font>
  <w:font w:name="汉仪仿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2475F">
    <w:pPr>
      <w:pStyle w:val="2"/>
      <w:pBdr>
        <w:top w:val="none" w:color="auto" w:sz="0" w:space="0"/>
        <w:left w:val="none" w:color="auto" w:sz="0" w:space="0"/>
        <w:bottom w:val="none" w:color="auto" w:sz="0" w:space="0"/>
        <w:right w:val="none" w:color="auto" w:sz="0" w:space="0"/>
        <w:between w:val="none" w:color="auto" w:sz="0" w:space="0"/>
      </w:pBdr>
      <w:rPr>
        <w:rFonts w:hint="default" w:eastAsia="方正仿宋"/>
        <w:u w:val="none"/>
        <w:lang w:val="en-US" w:eastAsia="zh-CN"/>
      </w:rPr>
    </w:pPr>
    <w:r>
      <w:rPr>
        <w:rFonts w:hint="default"/>
        <w:u w:val="none"/>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2E8985">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JhKX8c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KI7dcYsDv/z8cfn15/L7O1lm&#10;efoANWbdB8xLwzs/4NLMfkBnZj2oaPMX+RCMo7jnq7hySETkR+vVel1hSGBsviA+e3geIqT30luS&#10;jYZGnF4RlZ8+QhpT55Rczfk7bUyZoHH/OBAze1jufewxW2nYDxOhvW/PyKfHwTfU4Z5TYj441DXv&#10;yGzE2djPxjFEfejKEuV6EG6PCZsoveUKI+xUGCdW2E3blVfi8b1kPfxR2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3JhKX8cBAACZAwAADgAAAAAAAAABACAAAAAeAQAAZHJzL2Uyb0RvYy54&#10;bWxQSwUGAAAAAAYABgBZAQAAVwUAAAAA&#10;">
              <v:fill on="f" focussize="0,0"/>
              <v:stroke on="f"/>
              <v:imagedata o:title=""/>
              <o:lock v:ext="edit" aspectratio="f"/>
              <v:textbox inset="0mm,0mm,0mm,0mm" style="mso-fit-shape-to-text:t;">
                <w:txbxContent>
                  <w:p w14:paraId="1E2E898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7666B">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88BE71"/>
    <w:multiLevelType w:val="multilevel"/>
    <w:tmpl w:val="6D88BE71"/>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85119A"/>
    <w:rsid w:val="0485119A"/>
    <w:rsid w:val="089A2898"/>
    <w:rsid w:val="0FAC4C5F"/>
    <w:rsid w:val="124B4C03"/>
    <w:rsid w:val="12C07670"/>
    <w:rsid w:val="1606652D"/>
    <w:rsid w:val="16C31050"/>
    <w:rsid w:val="1A564145"/>
    <w:rsid w:val="1B067919"/>
    <w:rsid w:val="1EF075D2"/>
    <w:rsid w:val="226329AF"/>
    <w:rsid w:val="23861508"/>
    <w:rsid w:val="2C4604BD"/>
    <w:rsid w:val="2CA73C19"/>
    <w:rsid w:val="30406FD1"/>
    <w:rsid w:val="30953AFA"/>
    <w:rsid w:val="32DE4748"/>
    <w:rsid w:val="370A20E7"/>
    <w:rsid w:val="384B18C4"/>
    <w:rsid w:val="3D5140C2"/>
    <w:rsid w:val="3EAC5FAC"/>
    <w:rsid w:val="41AC096A"/>
    <w:rsid w:val="4201676E"/>
    <w:rsid w:val="42497F67"/>
    <w:rsid w:val="45C8461A"/>
    <w:rsid w:val="46AA5D18"/>
    <w:rsid w:val="49920446"/>
    <w:rsid w:val="50DE180B"/>
    <w:rsid w:val="5A981634"/>
    <w:rsid w:val="600A2C1F"/>
    <w:rsid w:val="696B5D91"/>
    <w:rsid w:val="71775FF0"/>
    <w:rsid w:val="74561B26"/>
    <w:rsid w:val="761A4029"/>
    <w:rsid w:val="779D1A5F"/>
    <w:rsid w:val="78A7270E"/>
    <w:rsid w:val="7ACD0A2E"/>
    <w:rsid w:val="7F683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仿宋" w:hAnsi="仿宋" w:eastAsia="仿宋" w:cs="仿宋"/>
      <w:sz w:val="24"/>
      <w:szCs w:val="24"/>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font11"/>
    <w:basedOn w:val="7"/>
    <w:qFormat/>
    <w:uiPriority w:val="0"/>
    <w:rPr>
      <w:rFonts w:hint="default" w:ascii="Segoe UI" w:hAnsi="Segoe UI" w:eastAsia="Segoe UI" w:cs="Segoe UI"/>
      <w:color w:val="0F1115"/>
      <w:sz w:val="22"/>
      <w:szCs w:val="22"/>
      <w:u w:val="none"/>
    </w:rPr>
  </w:style>
  <w:style w:type="character" w:customStyle="1" w:styleId="12">
    <w:name w:val="font31"/>
    <w:basedOn w:val="7"/>
    <w:qFormat/>
    <w:uiPriority w:val="0"/>
    <w:rPr>
      <w:rFonts w:hint="eastAsia" w:ascii="宋体" w:hAnsi="宋体" w:eastAsia="宋体" w:cs="宋体"/>
      <w:color w:val="0F1115"/>
      <w:sz w:val="23"/>
      <w:szCs w:val="23"/>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5525</Words>
  <Characters>5880</Characters>
  <Lines>0</Lines>
  <Paragraphs>0</Paragraphs>
  <TotalTime>0</TotalTime>
  <ScaleCrop>false</ScaleCrop>
  <LinksUpToDate>false</LinksUpToDate>
  <CharactersWithSpaces>5989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2026-01-12T01:59:00Z</dcterms:created>
  <dc:creator>朱文迪</dc:creator>
  <cp:lastModifiedBy>zhangsir</cp:lastModifiedBy>
  <dcterms:modified xsi:type="dcterms:W3CDTF">2026-03-06T09:28:04Z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A5D2AE796C284BF5823221A5587DC544_11</vt:lpwstr>
  </property>
  <property fmtid="{D5CDD505-2E9C-101B-9397-08002B2CF9AE}" pid="4" name="KSOTemplateDocerSaveRecord">
    <vt:lpwstr>eyJoZGlkIjoiMjFhYjg0NTMzNmMxNzk5NzQ2Nzg2NjkzNDM4OTMzMTQiLCJ1c2VySWQiOiIzMjkzNTA1OTEifQ==</vt:lpwstr>
  </property>
</Properties>
</file>