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4E30E2">
      <w:pPr>
        <w:widowControl/>
        <w:snapToGrid w:val="0"/>
        <w:spacing w:line="288" w:lineRule="auto"/>
        <w:jc w:val="right"/>
        <w:rPr>
          <w:rFonts w:hint="eastAsia" w:ascii="黑体" w:hAnsi="黑体" w:eastAsia="黑体"/>
          <w:sz w:val="28"/>
          <w:szCs w:val="28"/>
        </w:rPr>
      </w:pPr>
      <w:r>
        <w:rPr>
          <w:rFonts w:ascii="Century" w:hAnsi="Century" w:eastAsia="微软雅黑"/>
        </w:rPr>
        <w:drawing>
          <wp:anchor distT="0" distB="0" distL="114300" distR="114300" simplePos="0" relativeHeight="251660288" behindDoc="0" locked="0" layoutInCell="1" allowOverlap="1">
            <wp:simplePos x="0" y="0"/>
            <wp:positionH relativeFrom="margin">
              <wp:posOffset>-1905</wp:posOffset>
            </wp:positionH>
            <wp:positionV relativeFrom="margin">
              <wp:posOffset>630555</wp:posOffset>
            </wp:positionV>
            <wp:extent cx="5958840" cy="453390"/>
            <wp:effectExtent l="0" t="0" r="0" b="3810"/>
            <wp:wrapSquare wrapText="bothSides"/>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958840" cy="453390"/>
                    </a:xfrm>
                    <a:prstGeom prst="rect">
                      <a:avLst/>
                    </a:prstGeom>
                  </pic:spPr>
                </pic:pic>
              </a:graphicData>
            </a:graphic>
          </wp:anchor>
        </w:drawing>
      </w:r>
    </w:p>
    <w:p w14:paraId="0FB63907">
      <w:pPr>
        <w:widowControl/>
        <w:snapToGrid w:val="0"/>
        <w:spacing w:line="288" w:lineRule="auto"/>
        <w:jc w:val="right"/>
        <w:rPr>
          <w:rFonts w:ascii="Century" w:hAnsi="Century" w:eastAsia="黑体"/>
          <w:sz w:val="28"/>
          <w:szCs w:val="28"/>
        </w:rPr>
      </w:pPr>
    </w:p>
    <w:p w14:paraId="5CB68833">
      <w:pPr>
        <w:widowControl/>
        <w:snapToGrid w:val="0"/>
        <w:spacing w:line="288" w:lineRule="auto"/>
        <w:ind w:right="277"/>
        <w:jc w:val="right"/>
        <w:rPr>
          <w:rFonts w:hint="eastAsia" w:ascii="黑体" w:hAnsi="黑体" w:eastAsia="黑体"/>
          <w:sz w:val="28"/>
          <w:szCs w:val="28"/>
        </w:rPr>
      </w:pPr>
      <w:r>
        <w:rPr>
          <w:rFonts w:ascii="Century" w:hAnsi="Century" w:eastAsia="黑体"/>
          <w:sz w:val="28"/>
          <w:szCs w:val="28"/>
        </w:rPr>
        <w:t xml:space="preserve">T / </w:t>
      </w:r>
      <w:r>
        <w:rPr>
          <w:rFonts w:hint="eastAsia" w:ascii="Century" w:hAnsi="Century" w:eastAsia="黑体"/>
          <w:sz w:val="28"/>
          <w:szCs w:val="28"/>
        </w:rPr>
        <w:t>C</w:t>
      </w:r>
      <w:r>
        <w:rPr>
          <w:rFonts w:hint="eastAsia" w:ascii="Century" w:hAnsi="Century" w:eastAsia="黑体"/>
          <w:sz w:val="28"/>
          <w:szCs w:val="28"/>
          <w:lang w:val="en-US" w:eastAsia="zh-CN"/>
        </w:rPr>
        <w:t>NHAW</w:t>
      </w:r>
      <w:r>
        <w:rPr>
          <w:rFonts w:ascii="黑体" w:hAnsi="黑体" w:eastAsia="黑体"/>
          <w:sz w:val="28"/>
          <w:szCs w:val="28"/>
        </w:rPr>
        <w:t xml:space="preserve"> </w:t>
      </w:r>
      <w:r>
        <w:rPr>
          <w:rFonts w:hint="eastAsia" w:ascii="黑体" w:hAnsi="黑体" w:eastAsia="黑体"/>
          <w:sz w:val="28"/>
          <w:szCs w:val="28"/>
          <w:lang w:val="en-US" w:eastAsia="zh-CN"/>
        </w:rPr>
        <w:t xml:space="preserve"> XXXX</w:t>
      </w:r>
      <w:r>
        <w:rPr>
          <w:rFonts w:ascii="黑体" w:hAnsi="黑体" w:eastAsia="黑体"/>
          <w:sz w:val="28"/>
          <w:szCs w:val="28"/>
        </w:rPr>
        <w:t>-202</w:t>
      </w:r>
      <w:r>
        <w:rPr>
          <w:rFonts w:hint="eastAsia" w:ascii="黑体" w:hAnsi="黑体" w:eastAsia="黑体"/>
          <w:sz w:val="28"/>
          <w:szCs w:val="28"/>
          <w:lang w:val="en-US" w:eastAsia="zh-CN"/>
        </w:rPr>
        <w:t>6</w:t>
      </w:r>
      <w:r>
        <w:rPr>
          <w:rFonts w:ascii="黑体" w:hAnsi="黑体" w:eastAsia="黑体"/>
          <w:sz w:val="28"/>
          <w:szCs w:val="28"/>
        </w:rPr>
        <w:t xml:space="preserve">  </w:t>
      </w:r>
    </w:p>
    <w:p w14:paraId="6193F161">
      <w:pPr>
        <w:widowControl/>
        <w:snapToGrid w:val="0"/>
        <w:spacing w:line="288" w:lineRule="auto"/>
        <w:jc w:val="right"/>
        <w:rPr>
          <w:sz w:val="28"/>
          <w:szCs w:val="28"/>
        </w:rPr>
      </w:pPr>
    </w:p>
    <w:p w14:paraId="03A002D0">
      <w:pPr>
        <w:widowControl/>
        <w:snapToGrid w:val="0"/>
        <w:spacing w:line="288" w:lineRule="auto"/>
        <w:jc w:val="right"/>
        <w:rPr>
          <w:sz w:val="28"/>
          <w:szCs w:val="28"/>
        </w:rPr>
      </w:pPr>
      <w:r>
        <w:rPr>
          <w:rFonts w:ascii="Century" w:hAnsi="Century"/>
          <w:sz w:val="28"/>
          <w:szCs w:val="28"/>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26035</wp:posOffset>
                </wp:positionV>
                <wp:extent cx="5939790" cy="0"/>
                <wp:effectExtent l="0" t="0" r="16510" b="12700"/>
                <wp:wrapNone/>
                <wp:docPr id="466" name="直接连接符 466"/>
                <wp:cNvGraphicFramePr/>
                <a:graphic xmlns:a="http://schemas.openxmlformats.org/drawingml/2006/main">
                  <a:graphicData uri="http://schemas.microsoft.com/office/word/2010/wordprocessingShape">
                    <wps:wsp>
                      <wps:cNvCnPr/>
                      <wps:spPr>
                        <a:xfrm>
                          <a:off x="0" y="0"/>
                          <a:ext cx="594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1pt;margin-top:2.05pt;height:0pt;width:467.7pt;z-index:251659264;mso-width-relative:page;mso-height-relative:page;" filled="f" stroked="t" coordsize="21600,21600" o:gfxdata="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Cso1uNQAAAAFAQAA&#10;DwAAAAAAAAABACAAAAAiAAAAZHJzL2Rvd25yZXYueG1sUEsBAhQAFAAAAAgAh07iQKYDARvkAQAA&#10;tQMAAA4AAAAAAAAAAQAgAAAAIwEAAGRycy9lMm9Eb2MueG1sUEsFBgAAAAAGAAYAWQEAAHkFAAAA&#10;AA==&#10;">
                <v:fill on="f" focussize="0,0"/>
                <v:stroke color="#000000 [3213]" miterlimit="8" joinstyle="miter"/>
                <v:imagedata o:title=""/>
                <o:lock v:ext="edit" aspectratio="f"/>
              </v:line>
            </w:pict>
          </mc:Fallback>
        </mc:AlternateContent>
      </w:r>
    </w:p>
    <w:p w14:paraId="2C98A09C">
      <w:pPr>
        <w:widowControl/>
        <w:snapToGrid w:val="0"/>
        <w:spacing w:line="288" w:lineRule="auto"/>
        <w:jc w:val="right"/>
        <w:rPr>
          <w:sz w:val="28"/>
          <w:szCs w:val="28"/>
        </w:rPr>
      </w:pPr>
    </w:p>
    <w:p w14:paraId="7656393D">
      <w:pPr>
        <w:widowControl/>
        <w:snapToGrid w:val="0"/>
        <w:spacing w:before="120" w:after="120" w:line="288" w:lineRule="auto"/>
        <w:jc w:val="right"/>
        <w:rPr>
          <w:sz w:val="28"/>
          <w:szCs w:val="28"/>
        </w:rPr>
      </w:pPr>
    </w:p>
    <w:p w14:paraId="64DEDEAE">
      <w:pPr>
        <w:widowControl/>
        <w:snapToGrid w:val="0"/>
        <w:spacing w:before="120" w:after="120" w:line="288" w:lineRule="auto"/>
        <w:jc w:val="right"/>
        <w:rPr>
          <w:sz w:val="20"/>
          <w:szCs w:val="20"/>
        </w:rPr>
      </w:pPr>
      <w:bookmarkStart w:id="40" w:name="_GoBack"/>
      <w:bookmarkEnd w:id="40"/>
    </w:p>
    <w:p w14:paraId="5511AD6C">
      <w:pPr>
        <w:widowControl/>
        <w:snapToGrid w:val="0"/>
        <w:spacing w:line="288" w:lineRule="auto"/>
        <w:jc w:val="right"/>
        <w:rPr>
          <w:sz w:val="20"/>
          <w:szCs w:val="20"/>
        </w:rPr>
      </w:pPr>
    </w:p>
    <w:p w14:paraId="2236FDE0">
      <w:pPr>
        <w:widowControl/>
        <w:snapToGrid w:val="0"/>
        <w:spacing w:line="360" w:lineRule="auto"/>
        <w:jc w:val="right"/>
        <w:rPr>
          <w:sz w:val="20"/>
          <w:szCs w:val="20"/>
        </w:rPr>
      </w:pPr>
    </w:p>
    <w:p w14:paraId="23D43A11">
      <w:pPr>
        <w:widowControl/>
        <w:spacing w:line="360" w:lineRule="auto"/>
        <w:jc w:val="center"/>
        <w:rPr>
          <w:rFonts w:hint="eastAsia" w:ascii="黑体" w:hAnsi="黑体" w:eastAsia="黑体"/>
          <w:sz w:val="36"/>
          <w:szCs w:val="36"/>
        </w:rPr>
      </w:pPr>
      <w:bookmarkStart w:id="0" w:name="OLE_LINK1"/>
      <w:r>
        <w:rPr>
          <w:rFonts w:hint="eastAsia" w:ascii="黑体" w:hAnsi="黑体" w:eastAsia="黑体"/>
          <w:sz w:val="36"/>
          <w:szCs w:val="36"/>
        </w:rPr>
        <w:t>重大慢病“防、筛、管、治、康、护”服务技术标准</w:t>
      </w:r>
    </w:p>
    <w:bookmarkEnd w:id="0"/>
    <w:p w14:paraId="0B987806">
      <w:pPr>
        <w:spacing w:line="360" w:lineRule="auto"/>
        <w:jc w:val="center"/>
        <w:rPr>
          <w:rFonts w:ascii="Arial" w:hAnsi="Arial"/>
          <w:sz w:val="36"/>
        </w:rPr>
      </w:pPr>
      <w:r>
        <w:rPr>
          <w:rFonts w:ascii="Arial" w:hAnsi="Arial"/>
          <w:sz w:val="36"/>
        </w:rPr>
        <w:t>Service Technical Standard for "Prevention, Screening, Management, Treatment, Rehabilitation, and Care" of Major Chronic Diseases</w:t>
      </w:r>
    </w:p>
    <w:p w14:paraId="526D6D50">
      <w:pPr>
        <w:spacing w:line="360" w:lineRule="auto"/>
        <w:jc w:val="center"/>
        <w:rPr>
          <w:rFonts w:hint="default" w:ascii="Arial" w:hAnsi="Arial" w:eastAsia="宋体"/>
          <w:sz w:val="32"/>
          <w:szCs w:val="20"/>
          <w:lang w:val="en-US" w:eastAsia="zh-CN"/>
        </w:rPr>
      </w:pPr>
      <w:r>
        <w:rPr>
          <w:rFonts w:hint="eastAsia" w:ascii="Arial" w:hAnsi="Arial"/>
          <w:sz w:val="32"/>
          <w:szCs w:val="20"/>
          <w:lang w:val="en-US" w:eastAsia="zh-CN"/>
        </w:rPr>
        <w:t>(文件类型：征求意见稿)</w:t>
      </w:r>
    </w:p>
    <w:p w14:paraId="5310A31B">
      <w:pPr>
        <w:widowControl/>
        <w:snapToGrid w:val="0"/>
        <w:spacing w:line="240" w:lineRule="auto"/>
        <w:jc w:val="center"/>
        <w:rPr>
          <w:sz w:val="28"/>
          <w:szCs w:val="28"/>
        </w:rPr>
      </w:pPr>
    </w:p>
    <w:p w14:paraId="404E2AE2">
      <w:pPr>
        <w:widowControl/>
        <w:snapToGrid w:val="0"/>
        <w:spacing w:line="240" w:lineRule="auto"/>
        <w:jc w:val="center"/>
        <w:rPr>
          <w:rFonts w:hint="eastAsia" w:ascii="黑体" w:hAnsi="黑体" w:eastAsia="黑体"/>
          <w:sz w:val="28"/>
          <w:szCs w:val="28"/>
        </w:rPr>
      </w:pPr>
    </w:p>
    <w:p w14:paraId="11D00568">
      <w:pPr>
        <w:widowControl/>
        <w:snapToGrid w:val="0"/>
        <w:spacing w:line="240" w:lineRule="auto"/>
        <w:rPr>
          <w:sz w:val="28"/>
          <w:szCs w:val="28"/>
        </w:rPr>
      </w:pPr>
    </w:p>
    <w:p w14:paraId="746C306F">
      <w:pPr>
        <w:widowControl/>
        <w:snapToGrid w:val="0"/>
        <w:spacing w:line="240" w:lineRule="auto"/>
        <w:jc w:val="center"/>
        <w:rPr>
          <w:sz w:val="28"/>
          <w:szCs w:val="28"/>
        </w:rPr>
      </w:pPr>
    </w:p>
    <w:p w14:paraId="758B015D">
      <w:pPr>
        <w:widowControl/>
        <w:snapToGrid w:val="0"/>
        <w:spacing w:line="240" w:lineRule="auto"/>
        <w:jc w:val="center"/>
        <w:rPr>
          <w:sz w:val="28"/>
          <w:szCs w:val="28"/>
        </w:rPr>
      </w:pPr>
    </w:p>
    <w:p w14:paraId="70C0547A">
      <w:pPr>
        <w:widowControl/>
        <w:snapToGrid w:val="0"/>
        <w:spacing w:line="240" w:lineRule="auto"/>
        <w:jc w:val="center"/>
        <w:rPr>
          <w:sz w:val="28"/>
          <w:szCs w:val="28"/>
        </w:rPr>
      </w:pPr>
    </w:p>
    <w:p w14:paraId="1D75CABA">
      <w:pPr>
        <w:widowControl/>
        <w:snapToGrid w:val="0"/>
        <w:spacing w:line="240" w:lineRule="auto"/>
        <w:jc w:val="center"/>
        <w:rPr>
          <w:sz w:val="28"/>
          <w:szCs w:val="28"/>
        </w:rPr>
      </w:pPr>
    </w:p>
    <w:p w14:paraId="4AEF0588">
      <w:pPr>
        <w:pStyle w:val="48"/>
        <w:numPr>
          <w:ilvl w:val="0"/>
          <w:numId w:val="0"/>
        </w:numPr>
        <w:adjustRightInd w:val="0"/>
        <w:snapToGrid w:val="0"/>
        <w:spacing w:before="0" w:after="0" w:afterLines="0"/>
        <w:outlineLvl w:val="9"/>
        <w:rPr>
          <w:rFonts w:hint="eastAsia" w:hAnsi="黑体"/>
          <w:sz w:val="28"/>
          <w:szCs w:val="28"/>
        </w:rPr>
      </w:pPr>
    </w:p>
    <w:p w14:paraId="4EB40294">
      <w:pPr>
        <w:pStyle w:val="48"/>
        <w:numPr>
          <w:ilvl w:val="0"/>
          <w:numId w:val="0"/>
        </w:numPr>
        <w:adjustRightInd w:val="0"/>
        <w:snapToGrid w:val="0"/>
        <w:spacing w:before="0" w:after="0" w:afterLines="0"/>
        <w:jc w:val="both"/>
        <w:outlineLvl w:val="9"/>
        <w:rPr>
          <w:rFonts w:hint="eastAsia" w:hAnsi="黑体"/>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-63500</wp:posOffset>
                </wp:positionH>
                <wp:positionV relativeFrom="paragraph">
                  <wp:posOffset>260350</wp:posOffset>
                </wp:positionV>
                <wp:extent cx="5939790" cy="0"/>
                <wp:effectExtent l="0" t="0" r="16510" b="12700"/>
                <wp:wrapNone/>
                <wp:docPr id="37" name="直接连接符 466"/>
                <wp:cNvGraphicFramePr/>
                <a:graphic xmlns:a="http://schemas.openxmlformats.org/drawingml/2006/main">
                  <a:graphicData uri="http://schemas.microsoft.com/office/word/2010/wordprocessingShape">
                    <wps:wsp>
                      <wps:cNvCnPr/>
                      <wps:spPr>
                        <a:xfrm>
                          <a:off x="0" y="0"/>
                          <a:ext cx="5940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66" o:spid="_x0000_s1026" o:spt="20" style="position:absolute;left:0pt;margin-left:-5pt;margin-top:20.5pt;height:0pt;width:467.7pt;z-index:251661312;mso-width-relative:page;mso-height-relative:page;" filled="f" stroked="t" coordsize="21600,21600" o:gfxdata="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Zscf12AAA&#10;AAkBAAAPAAAAAAAAAAEAIAAAACIAAABkcnMvZG93bnJldi54bWxQSwECFAAUAAAACACHTuJA/oXj&#10;P+UBAAC0AwAADgAAAAAAAAABACAAAAAnAQAAZHJzL2Uyb0RvYy54bWxQSwUGAAAAAAYABgBZAQAA&#10;fgUAAAAA&#10;">
                <v:fill on="f" focussize="0,0"/>
                <v:stroke color="#000000 [3213]" miterlimit="8" joinstyle="miter"/>
                <v:imagedata o:title=""/>
                <o:lock v:ext="edit" aspectratio="f"/>
              </v:line>
            </w:pict>
          </mc:Fallback>
        </mc:AlternateContent>
      </w:r>
      <w:r>
        <w:rPr>
          <w:rFonts w:hint="eastAsia" w:hAnsi="黑体"/>
          <w:sz w:val="28"/>
          <w:szCs w:val="28"/>
        </w:rPr>
        <w:t>202</w:t>
      </w:r>
      <w:r>
        <w:rPr>
          <w:rFonts w:hint="eastAsia" w:hAnsi="黑体"/>
          <w:sz w:val="28"/>
          <w:szCs w:val="28"/>
          <w:lang w:val="en-US" w:eastAsia="zh-CN"/>
        </w:rPr>
        <w:t>6-xx-xx</w:t>
      </w:r>
      <w:r>
        <w:rPr>
          <w:rFonts w:hint="eastAsia" w:hAnsi="黑体"/>
          <w:sz w:val="28"/>
          <w:szCs w:val="28"/>
        </w:rPr>
        <w:t xml:space="preserve">发布 </w:t>
      </w:r>
      <w:r>
        <w:rPr>
          <w:rFonts w:hAnsi="黑体"/>
          <w:sz w:val="28"/>
          <w:szCs w:val="28"/>
        </w:rPr>
        <w:t xml:space="preserve">    </w:t>
      </w:r>
      <w:r>
        <w:rPr>
          <w:rFonts w:hint="eastAsia" w:hAnsi="黑体"/>
          <w:sz w:val="28"/>
          <w:szCs w:val="28"/>
        </w:rPr>
        <w:t xml:space="preserve"> </w:t>
      </w:r>
      <w:r>
        <w:rPr>
          <w:rFonts w:hAnsi="黑体"/>
          <w:sz w:val="28"/>
          <w:szCs w:val="28"/>
        </w:rPr>
        <w:t xml:space="preserve">                     </w:t>
      </w:r>
      <w:r>
        <w:rPr>
          <w:rFonts w:hint="eastAsia" w:hAnsi="黑体"/>
          <w:sz w:val="28"/>
          <w:szCs w:val="28"/>
        </w:rPr>
        <w:t xml:space="preserve"> </w:t>
      </w:r>
      <w:r>
        <w:rPr>
          <w:rFonts w:hint="eastAsia" w:hAnsi="黑体"/>
          <w:sz w:val="28"/>
          <w:szCs w:val="28"/>
          <w:lang w:val="en-US" w:eastAsia="zh-CN"/>
        </w:rPr>
        <w:t xml:space="preserve">       </w:t>
      </w:r>
      <w:r>
        <w:rPr>
          <w:rFonts w:hAnsi="黑体"/>
          <w:sz w:val="28"/>
          <w:szCs w:val="28"/>
        </w:rPr>
        <w:t>202</w:t>
      </w:r>
      <w:r>
        <w:rPr>
          <w:rFonts w:hint="eastAsia" w:hAnsi="黑体"/>
          <w:sz w:val="28"/>
          <w:szCs w:val="28"/>
          <w:lang w:val="en-US" w:eastAsia="zh-CN"/>
        </w:rPr>
        <w:t xml:space="preserve">6-xx-xx </w:t>
      </w:r>
      <w:r>
        <w:rPr>
          <w:rFonts w:hAnsi="黑体"/>
          <w:sz w:val="28"/>
          <w:szCs w:val="28"/>
        </w:rPr>
        <w:t xml:space="preserve">实施   </w:t>
      </w:r>
    </w:p>
    <w:p w14:paraId="426921D2">
      <w:pPr>
        <w:pStyle w:val="48"/>
        <w:numPr>
          <w:ilvl w:val="0"/>
          <w:numId w:val="0"/>
        </w:numPr>
        <w:adjustRightInd w:val="0"/>
        <w:snapToGrid w:val="0"/>
        <w:spacing w:before="0" w:after="0" w:afterLines="0"/>
        <w:jc w:val="both"/>
        <w:outlineLvl w:val="9"/>
        <w:rPr>
          <w:rFonts w:hint="eastAsia" w:hAnsi="黑体"/>
          <w:sz w:val="28"/>
          <w:szCs w:val="28"/>
        </w:rPr>
      </w:pPr>
      <w:r>
        <w:rPr>
          <w:rFonts w:hAnsi="黑体"/>
          <w:sz w:val="28"/>
          <w:szCs w:val="28"/>
        </w:rPr>
        <w:t xml:space="preserve">                               </w:t>
      </w:r>
    </w:p>
    <w:p w14:paraId="6AD3CF3D">
      <w:pPr>
        <w:pStyle w:val="48"/>
        <w:numPr>
          <w:ilvl w:val="0"/>
          <w:numId w:val="0"/>
        </w:numPr>
        <w:adjustRightInd w:val="0"/>
        <w:snapToGrid w:val="0"/>
        <w:spacing w:before="0" w:after="0" w:afterLines="0"/>
        <w:jc w:val="both"/>
        <w:outlineLvl w:val="9"/>
        <w:rPr>
          <w:rFonts w:hint="eastAsia" w:hAnsi="黑体"/>
          <w:sz w:val="28"/>
          <w:szCs w:val="28"/>
        </w:rPr>
      </w:pPr>
      <w:r>
        <w:rPr>
          <w:rFonts w:hAnsi="黑体"/>
          <w:sz w:val="28"/>
          <w:szCs w:val="28"/>
        </w:rPr>
        <w:t xml:space="preserve">                          </w:t>
      </w:r>
    </w:p>
    <w:p w14:paraId="5AC25171">
      <w:pPr>
        <w:snapToGrid w:val="0"/>
        <w:spacing w:line="240" w:lineRule="auto"/>
        <w:jc w:val="center"/>
        <w:rPr>
          <w:rFonts w:hint="eastAsia" w:ascii="黑体" w:hAnsi="黑体" w:eastAsia="黑体"/>
          <w:sz w:val="28"/>
          <w:szCs w:val="28"/>
        </w:rPr>
      </w:pPr>
    </w:p>
    <w:p w14:paraId="0AE7A728">
      <w:pPr>
        <w:snapToGrid w:val="0"/>
        <w:spacing w:line="240" w:lineRule="auto"/>
        <w:jc w:val="center"/>
        <w:rPr>
          <w:rFonts w:hint="eastAsia" w:ascii="黑体" w:hAnsi="黑体" w:eastAsia="黑体"/>
          <w:sz w:val="28"/>
          <w:szCs w:val="28"/>
        </w:rPr>
        <w:sectPr>
          <w:headerReference r:id="rId5" w:type="default"/>
          <w:headerReference r:id="rId6" w:type="even"/>
          <w:pgSz w:w="11906" w:h="16838"/>
          <w:pgMar w:top="975" w:right="1452" w:bottom="907" w:left="1440" w:header="0" w:footer="992" w:gutter="0"/>
          <w:pgBorders>
            <w:top w:val="none" w:sz="0" w:space="0"/>
            <w:left w:val="none" w:sz="0" w:space="0"/>
            <w:bottom w:val="none" w:sz="0" w:space="0"/>
            <w:right w:val="none" w:sz="0" w:space="0"/>
          </w:pgBorders>
          <w:cols w:space="425" w:num="1"/>
          <w:docGrid w:linePitch="312" w:charSpace="0"/>
        </w:sectPr>
      </w:pPr>
      <w:r>
        <w:rPr>
          <w:rFonts w:hint="eastAsia" w:ascii="黑体" w:hAnsi="黑体" w:eastAsia="黑体"/>
          <w:sz w:val="28"/>
          <w:szCs w:val="28"/>
        </w:rPr>
        <w:t>中国民族卫生协会</w:t>
      </w:r>
      <w:r>
        <w:rPr>
          <w:rFonts w:ascii="黑体" w:hAnsi="黑体" w:eastAsia="黑体"/>
          <w:sz w:val="28"/>
          <w:szCs w:val="28"/>
        </w:rPr>
        <w:t xml:space="preserve">   </w:t>
      </w:r>
      <w:r>
        <w:rPr>
          <w:rFonts w:hint="eastAsia" w:ascii="黑体" w:hAnsi="黑体" w:eastAsia="黑体"/>
          <w:sz w:val="28"/>
          <w:szCs w:val="28"/>
        </w:rPr>
        <w:t>发 布</w:t>
      </w:r>
    </w:p>
    <w:p w14:paraId="6E16055E">
      <w:pPr>
        <w:widowControl/>
        <w:shd w:val="clear" w:color="FFFFFF" w:fill="FFFFFF"/>
        <w:snapToGrid w:val="0"/>
        <w:spacing w:before="240" w:beforeLines="100" w:after="240" w:afterLines="100" w:line="288" w:lineRule="auto"/>
        <w:jc w:val="center"/>
        <w:rPr>
          <w:rFonts w:hint="eastAsia" w:ascii="黑体" w:hAnsi="黑体" w:eastAsia="黑体"/>
          <w:spacing w:val="320"/>
          <w:kern w:val="0"/>
          <w:sz w:val="32"/>
          <w:szCs w:val="32"/>
        </w:rPr>
      </w:pPr>
      <w:r>
        <w:rPr>
          <w:rFonts w:hint="eastAsia" w:ascii="黑体" w:hAnsi="黑体" w:eastAsia="黑体"/>
          <w:kern w:val="0"/>
          <w:sz w:val="32"/>
          <w:szCs w:val="32"/>
        </w:rPr>
        <w:t>目　次</w:t>
      </w:r>
    </w:p>
    <w:p w14:paraId="7491A1F7">
      <w:pPr>
        <w:pStyle w:val="15"/>
        <w:tabs>
          <w:tab w:val="right" w:leader="dot" w:pos="9014"/>
        </w:tabs>
        <w:rPr>
          <w:rFonts w:hint="default" w:ascii="Times New Roman" w:hAnsi="Times New Roman" w:eastAsia="宋体" w:cs="Times New Roman"/>
        </w:rPr>
      </w:pPr>
      <w:r>
        <w:rPr>
          <w:rFonts w:hint="eastAsia" w:ascii="宋体" w:hAnsi="宋体"/>
        </w:rPr>
        <w:fldChar w:fldCharType="begin"/>
      </w:r>
      <w:r>
        <w:rPr>
          <w:rFonts w:hint="eastAsia" w:ascii="宋体" w:hAnsi="宋体"/>
        </w:rPr>
        <w:instrText xml:space="preserve"> TOC \o "1-1" \u </w:instrText>
      </w:r>
      <w:r>
        <w:rPr>
          <w:rFonts w:hint="eastAsia" w:ascii="宋体" w:hAnsi="宋体"/>
        </w:rPr>
        <w:fldChar w:fldCharType="separate"/>
      </w:r>
      <w:r>
        <w:rPr>
          <w:rFonts w:hint="default" w:ascii="Times New Roman" w:hAnsi="Times New Roman" w:eastAsia="宋体" w:cs="Times New Roman"/>
          <w:bCs/>
          <w:kern w:val="0"/>
          <w:szCs w:val="32"/>
        </w:rPr>
        <w:t>前　言</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_Toc5080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p>
    <w:p w14:paraId="2B1A36BC">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kern w:val="0"/>
          <w:szCs w:val="28"/>
        </w:rPr>
        <w:t>引　言</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_Toc24640 \h </w:instrText>
      </w:r>
      <w:r>
        <w:rPr>
          <w:rFonts w:hint="default" w:ascii="Times New Roman" w:hAnsi="Times New Roman" w:eastAsia="宋体" w:cs="Times New Roman"/>
        </w:rPr>
        <w:fldChar w:fldCharType="separate"/>
      </w:r>
      <w:r>
        <w:rPr>
          <w:rFonts w:hint="default" w:ascii="Times New Roman" w:hAnsi="Times New Roman" w:eastAsia="宋体" w:cs="Times New Roman"/>
        </w:rPr>
        <w:t>1</w:t>
      </w:r>
      <w:r>
        <w:rPr>
          <w:rFonts w:hint="default" w:ascii="Times New Roman" w:hAnsi="Times New Roman" w:eastAsia="宋体" w:cs="Times New Roman"/>
        </w:rPr>
        <w:fldChar w:fldCharType="end"/>
      </w:r>
    </w:p>
    <w:p w14:paraId="1AEC1F0C">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szCs w:val="21"/>
        </w:rPr>
        <w:t>1 适用范围</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_Toc29765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p>
    <w:p w14:paraId="7A281EED">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szCs w:val="21"/>
        </w:rPr>
        <w:t>2 规范性引用文件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_Toc20848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p>
    <w:p w14:paraId="32DA8152">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szCs w:val="21"/>
        </w:rPr>
        <w:t>3 术语和定义</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_Toc8046 \h </w:instrText>
      </w:r>
      <w:r>
        <w:rPr>
          <w:rFonts w:hint="default" w:ascii="Times New Roman" w:hAnsi="Times New Roman" w:eastAsia="宋体" w:cs="Times New Roman"/>
        </w:rPr>
        <w:fldChar w:fldCharType="separate"/>
      </w:r>
      <w:r>
        <w:rPr>
          <w:rFonts w:hint="default" w:ascii="Times New Roman" w:hAnsi="Times New Roman" w:eastAsia="宋体" w:cs="Times New Roman"/>
        </w:rPr>
        <w:t>2</w:t>
      </w:r>
      <w:r>
        <w:rPr>
          <w:rFonts w:hint="default" w:ascii="Times New Roman" w:hAnsi="Times New Roman" w:eastAsia="宋体" w:cs="Times New Roman"/>
        </w:rPr>
        <w:fldChar w:fldCharType="end"/>
      </w:r>
    </w:p>
    <w:p w14:paraId="1CBF00B1">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szCs w:val="21"/>
        </w:rPr>
        <w:t xml:space="preserve">4 </w:t>
      </w:r>
      <w:r>
        <w:rPr>
          <w:rFonts w:hint="default" w:ascii="Times New Roman" w:hAnsi="Times New Roman" w:eastAsia="宋体" w:cs="Times New Roman"/>
          <w:bCs/>
          <w:szCs w:val="21"/>
          <w:lang w:val="en-US" w:eastAsia="zh-CN"/>
        </w:rPr>
        <w:t>服务原则</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_Toc12642 \h </w:instrText>
      </w:r>
      <w:r>
        <w:rPr>
          <w:rFonts w:hint="default" w:ascii="Times New Roman" w:hAnsi="Times New Roman" w:eastAsia="宋体" w:cs="Times New Roman"/>
        </w:rPr>
        <w:fldChar w:fldCharType="separate"/>
      </w:r>
      <w:r>
        <w:rPr>
          <w:rFonts w:hint="default" w:ascii="Times New Roman" w:hAnsi="Times New Roman" w:eastAsia="宋体" w:cs="Times New Roman"/>
        </w:rPr>
        <w:t>4</w:t>
      </w:r>
      <w:r>
        <w:rPr>
          <w:rFonts w:hint="default" w:ascii="Times New Roman" w:hAnsi="Times New Roman" w:eastAsia="宋体" w:cs="Times New Roman"/>
        </w:rPr>
        <w:fldChar w:fldCharType="end"/>
      </w:r>
    </w:p>
    <w:p w14:paraId="40878760">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szCs w:val="21"/>
          <w:lang w:val="en-US" w:eastAsia="zh-CN"/>
        </w:rPr>
        <w:t>5. 评估指标</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_Toc17003 \h </w:instrText>
      </w:r>
      <w:r>
        <w:rPr>
          <w:rFonts w:hint="default" w:ascii="Times New Roman" w:hAnsi="Times New Roman" w:eastAsia="宋体" w:cs="Times New Roman"/>
        </w:rPr>
        <w:fldChar w:fldCharType="separate"/>
      </w:r>
      <w:r>
        <w:rPr>
          <w:rFonts w:hint="default" w:ascii="Times New Roman" w:hAnsi="Times New Roman" w:eastAsia="宋体" w:cs="Times New Roman"/>
        </w:rPr>
        <w:t>5</w:t>
      </w:r>
      <w:r>
        <w:rPr>
          <w:rFonts w:hint="default" w:ascii="Times New Roman" w:hAnsi="Times New Roman" w:eastAsia="宋体" w:cs="Times New Roman"/>
        </w:rPr>
        <w:fldChar w:fldCharType="end"/>
      </w:r>
    </w:p>
    <w:p w14:paraId="041EA0F7">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lang w:val="en-US" w:eastAsia="zh-CN"/>
        </w:rPr>
        <w:t>6 实施要求</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_Toc19095 \h </w:instrText>
      </w:r>
      <w:r>
        <w:rPr>
          <w:rFonts w:hint="default" w:ascii="Times New Roman" w:hAnsi="Times New Roman" w:eastAsia="宋体" w:cs="Times New Roman"/>
        </w:rPr>
        <w:fldChar w:fldCharType="separate"/>
      </w:r>
      <w:r>
        <w:rPr>
          <w:rFonts w:hint="default" w:ascii="Times New Roman" w:hAnsi="Times New Roman" w:eastAsia="宋体" w:cs="Times New Roman"/>
        </w:rPr>
        <w:t>25</w:t>
      </w:r>
      <w:r>
        <w:rPr>
          <w:rFonts w:hint="default" w:ascii="Times New Roman" w:hAnsi="Times New Roman" w:eastAsia="宋体" w:cs="Times New Roman"/>
        </w:rPr>
        <w:fldChar w:fldCharType="end"/>
      </w:r>
    </w:p>
    <w:p w14:paraId="279EC590">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lang w:val="en-US" w:eastAsia="zh-CN"/>
        </w:rPr>
        <w:t>7</w:t>
      </w:r>
      <w:r>
        <w:rPr>
          <w:rFonts w:hint="default" w:ascii="Times New Roman" w:hAnsi="Times New Roman" w:eastAsia="宋体" w:cs="Times New Roman"/>
          <w:bCs/>
        </w:rPr>
        <w:t xml:space="preserve"> </w:t>
      </w:r>
      <w:r>
        <w:rPr>
          <w:rFonts w:hint="default" w:ascii="Times New Roman" w:hAnsi="Times New Roman" w:eastAsia="宋体" w:cs="Times New Roman"/>
          <w:bCs/>
          <w:lang w:val="en-US" w:eastAsia="zh-CN"/>
        </w:rPr>
        <w:t>服务衔接流程</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_Toc4207 \h </w:instrText>
      </w:r>
      <w:r>
        <w:rPr>
          <w:rFonts w:hint="default" w:ascii="Times New Roman" w:hAnsi="Times New Roman" w:eastAsia="宋体" w:cs="Times New Roman"/>
        </w:rPr>
        <w:fldChar w:fldCharType="separate"/>
      </w:r>
      <w:r>
        <w:rPr>
          <w:rFonts w:hint="default" w:ascii="Times New Roman" w:hAnsi="Times New Roman" w:eastAsia="宋体" w:cs="Times New Roman"/>
        </w:rPr>
        <w:t>26</w:t>
      </w:r>
      <w:r>
        <w:rPr>
          <w:rFonts w:hint="default" w:ascii="Times New Roman" w:hAnsi="Times New Roman" w:eastAsia="宋体" w:cs="Times New Roman"/>
        </w:rPr>
        <w:fldChar w:fldCharType="end"/>
      </w:r>
    </w:p>
    <w:p w14:paraId="1039D738">
      <w:pPr>
        <w:pStyle w:val="15"/>
        <w:tabs>
          <w:tab w:val="right" w:leader="dot" w:pos="9014"/>
        </w:tabs>
        <w:rPr>
          <w:rFonts w:hint="default" w:ascii="Times New Roman" w:hAnsi="Times New Roman" w:eastAsia="宋体" w:cs="Times New Roman"/>
        </w:rPr>
      </w:pPr>
      <w:r>
        <w:rPr>
          <w:rFonts w:hint="default" w:ascii="Times New Roman" w:hAnsi="Times New Roman" w:eastAsia="宋体" w:cs="Times New Roman"/>
          <w:bCs/>
          <w:lang w:val="en-US" w:eastAsia="zh-CN"/>
        </w:rPr>
        <w:t>8</w:t>
      </w:r>
      <w:r>
        <w:rPr>
          <w:rFonts w:hint="default" w:ascii="Times New Roman" w:hAnsi="Times New Roman" w:eastAsia="宋体" w:cs="Times New Roman"/>
          <w:bCs/>
        </w:rPr>
        <w:t xml:space="preserve"> </w:t>
      </w:r>
      <w:r>
        <w:rPr>
          <w:rFonts w:hint="default" w:ascii="Times New Roman" w:hAnsi="Times New Roman" w:eastAsia="宋体" w:cs="Times New Roman"/>
          <w:bCs/>
          <w:lang w:val="en-US" w:eastAsia="zh-CN"/>
        </w:rPr>
        <w:t>质量控制</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_Toc13120 \h </w:instrText>
      </w:r>
      <w:r>
        <w:rPr>
          <w:rFonts w:hint="default" w:ascii="Times New Roman" w:hAnsi="Times New Roman" w:eastAsia="宋体" w:cs="Times New Roman"/>
        </w:rPr>
        <w:fldChar w:fldCharType="separate"/>
      </w:r>
      <w:r>
        <w:rPr>
          <w:rFonts w:hint="default" w:ascii="Times New Roman" w:hAnsi="Times New Roman" w:eastAsia="宋体" w:cs="Times New Roman"/>
        </w:rPr>
        <w:t>26</w:t>
      </w:r>
      <w:r>
        <w:rPr>
          <w:rFonts w:hint="default" w:ascii="Times New Roman" w:hAnsi="Times New Roman" w:eastAsia="宋体" w:cs="Times New Roman"/>
        </w:rPr>
        <w:fldChar w:fldCharType="end"/>
      </w:r>
    </w:p>
    <w:p w14:paraId="2C053D85">
      <w:pPr>
        <w:pStyle w:val="15"/>
        <w:tabs>
          <w:tab w:val="right" w:leader="dot" w:pos="9014"/>
        </w:tabs>
      </w:pPr>
      <w:r>
        <w:rPr>
          <w:rFonts w:hint="default" w:ascii="Times New Roman" w:hAnsi="Times New Roman" w:eastAsia="宋体" w:cs="Times New Roman"/>
          <w:bCs/>
          <w:spacing w:val="-2"/>
        </w:rPr>
        <w:t>参考文献</w:t>
      </w:r>
      <w:r>
        <w:rPr>
          <w:rFonts w:hint="default" w:ascii="Times New Roman" w:hAnsi="Times New Roman" w:eastAsia="宋体" w:cs="Times New Roman"/>
        </w:rPr>
        <w:tab/>
      </w:r>
      <w:r>
        <w:rPr>
          <w:rFonts w:hint="default" w:ascii="Times New Roman" w:hAnsi="Times New Roman" w:eastAsia="宋体" w:cs="Times New Roman"/>
        </w:rPr>
        <w:fldChar w:fldCharType="begin"/>
      </w:r>
      <w:r>
        <w:rPr>
          <w:rFonts w:hint="default" w:ascii="Times New Roman" w:hAnsi="Times New Roman" w:eastAsia="宋体" w:cs="Times New Roman"/>
        </w:rPr>
        <w:instrText xml:space="preserve"> PAGEREF _Toc32628 \h </w:instrText>
      </w:r>
      <w:r>
        <w:rPr>
          <w:rFonts w:hint="default" w:ascii="Times New Roman" w:hAnsi="Times New Roman" w:eastAsia="宋体" w:cs="Times New Roman"/>
        </w:rPr>
        <w:fldChar w:fldCharType="separate"/>
      </w:r>
      <w:r>
        <w:rPr>
          <w:rFonts w:hint="default" w:ascii="Times New Roman" w:hAnsi="Times New Roman" w:eastAsia="宋体" w:cs="Times New Roman"/>
        </w:rPr>
        <w:t>27</w:t>
      </w:r>
      <w:r>
        <w:rPr>
          <w:rFonts w:hint="default" w:ascii="Times New Roman" w:hAnsi="Times New Roman" w:eastAsia="宋体" w:cs="Times New Roman"/>
        </w:rPr>
        <w:fldChar w:fldCharType="end"/>
      </w:r>
    </w:p>
    <w:p w14:paraId="6BBB46AC">
      <w:pPr>
        <w:snapToGrid w:val="0"/>
        <w:spacing w:line="240" w:lineRule="auto"/>
        <w:jc w:val="center"/>
        <w:rPr>
          <w:rFonts w:hint="eastAsia" w:ascii="黑体" w:hAnsi="黑体" w:eastAsia="黑体"/>
          <w:sz w:val="28"/>
          <w:szCs w:val="28"/>
        </w:rPr>
      </w:pPr>
      <w:r>
        <w:rPr>
          <w:rFonts w:hint="eastAsia" w:ascii="宋体" w:hAnsi="宋体"/>
        </w:rPr>
        <w:fldChar w:fldCharType="end"/>
      </w:r>
    </w:p>
    <w:p w14:paraId="417E06F4"/>
    <w:p w14:paraId="7F6C1A57"/>
    <w:p w14:paraId="1345B7B9"/>
    <w:p w14:paraId="1DC11EB6"/>
    <w:p w14:paraId="07B6FABB">
      <w:pPr>
        <w:sectPr>
          <w:headerReference r:id="rId7" w:type="default"/>
          <w:headerReference r:id="rId8" w:type="even"/>
          <w:pgSz w:w="11906" w:h="16838"/>
          <w:pgMar w:top="975" w:right="1452" w:bottom="907" w:left="1440" w:header="851" w:footer="992" w:gutter="0"/>
          <w:pgBorders>
            <w:top w:val="none" w:sz="0" w:space="0"/>
            <w:left w:val="none" w:sz="0" w:space="0"/>
            <w:bottom w:val="none" w:sz="0" w:space="0"/>
            <w:right w:val="none" w:sz="0" w:space="0"/>
          </w:pgBorders>
          <w:cols w:space="425" w:num="1"/>
          <w:docGrid w:linePitch="312" w:charSpace="0"/>
        </w:sectPr>
      </w:pPr>
    </w:p>
    <w:p w14:paraId="28CC1729">
      <w:pPr>
        <w:widowControl/>
        <w:shd w:val="clear" w:color="FFFFFF" w:fill="FFFFFF"/>
        <w:snapToGrid w:val="0"/>
        <w:spacing w:before="240" w:beforeLines="100" w:after="600" w:afterLines="250" w:line="288" w:lineRule="auto"/>
        <w:jc w:val="center"/>
        <w:outlineLvl w:val="0"/>
        <w:rPr>
          <w:rFonts w:hint="eastAsia" w:ascii="黑体" w:hAnsi="黑体" w:eastAsia="黑体"/>
          <w:b/>
          <w:bCs/>
          <w:spacing w:val="320"/>
          <w:kern w:val="0"/>
          <w:sz w:val="32"/>
          <w:szCs w:val="32"/>
        </w:rPr>
      </w:pPr>
      <w:bookmarkStart w:id="1" w:name="_Toc206164547"/>
      <w:bookmarkStart w:id="2" w:name="_Toc206169281"/>
      <w:bookmarkStart w:id="3" w:name="_Toc5080"/>
      <w:r>
        <w:rPr>
          <w:rFonts w:hint="eastAsia" w:ascii="黑体" w:hAnsi="黑体" w:eastAsia="黑体"/>
          <w:b/>
          <w:bCs/>
          <w:kern w:val="0"/>
          <w:sz w:val="32"/>
          <w:szCs w:val="32"/>
        </w:rPr>
        <w:t>前　言</w:t>
      </w:r>
      <w:bookmarkEnd w:id="1"/>
      <w:bookmarkEnd w:id="2"/>
      <w:bookmarkEnd w:id="3"/>
    </w:p>
    <w:p w14:paraId="38A14AC0">
      <w:pPr>
        <w:widowControl/>
        <w:autoSpaceDE w:val="0"/>
        <w:autoSpaceDN w:val="0"/>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本标准按照</w:t>
      </w:r>
      <w:r>
        <w:rPr>
          <w:rFonts w:ascii="宋体" w:hAnsi="宋体"/>
          <w:kern w:val="0"/>
          <w:szCs w:val="20"/>
        </w:rPr>
        <w:t>GB/T 1.1—2020</w:t>
      </w:r>
      <w:r>
        <w:rPr>
          <w:rFonts w:hint="eastAsia" w:ascii="宋体" w:hAnsi="宋体"/>
          <w:kern w:val="0"/>
          <w:szCs w:val="20"/>
        </w:rPr>
        <w:t>《标准化工作导则</w:t>
      </w:r>
      <w:r>
        <w:rPr>
          <w:rFonts w:ascii="宋体" w:hAnsi="宋体"/>
          <w:kern w:val="0"/>
          <w:szCs w:val="20"/>
        </w:rPr>
        <w:t xml:space="preserve">  </w:t>
      </w:r>
      <w:r>
        <w:rPr>
          <w:rFonts w:hint="eastAsia" w:ascii="宋体" w:hAnsi="宋体"/>
          <w:kern w:val="0"/>
          <w:szCs w:val="20"/>
        </w:rPr>
        <w:t>第</w:t>
      </w:r>
      <w:r>
        <w:rPr>
          <w:rFonts w:ascii="宋体" w:hAnsi="宋体"/>
          <w:kern w:val="0"/>
          <w:szCs w:val="20"/>
        </w:rPr>
        <w:t>1</w:t>
      </w:r>
      <w:r>
        <w:rPr>
          <w:rFonts w:hint="eastAsia" w:ascii="宋体" w:hAnsi="宋体"/>
          <w:kern w:val="0"/>
          <w:szCs w:val="20"/>
        </w:rPr>
        <w:t>部分：标准化文件的结构和起草规则》的规定起草。</w:t>
      </w:r>
    </w:p>
    <w:p w14:paraId="1EBD6CD6">
      <w:pPr>
        <w:snapToGrid w:val="0"/>
        <w:spacing w:line="360" w:lineRule="auto"/>
        <w:ind w:firstLine="420" w:firstLineChars="200"/>
        <w:jc w:val="left"/>
        <w:rPr>
          <w:rFonts w:hint="eastAsia" w:ascii="宋体" w:hAnsi="宋体"/>
          <w:color w:val="030303"/>
          <w:kern w:val="0"/>
          <w:shd w:val="clear" w:color="auto" w:fill="FFFFFF"/>
          <w:lang w:bidi="ar"/>
        </w:rPr>
      </w:pPr>
      <w:r>
        <w:rPr>
          <w:rFonts w:hint="eastAsia" w:ascii="宋体" w:hAnsi="宋体"/>
          <w:color w:val="030303"/>
          <w:kern w:val="0"/>
          <w:shd w:val="clear" w:color="auto" w:fill="FFFFFF"/>
          <w:lang w:bidi="ar"/>
        </w:rPr>
        <w:t>请注意本标准的某些内容可能涉及专利。本标准的发布机构不承担识别专利的责任。</w:t>
      </w:r>
    </w:p>
    <w:p w14:paraId="64051359">
      <w:pPr>
        <w:widowControl/>
        <w:autoSpaceDE w:val="0"/>
        <w:autoSpaceDN w:val="0"/>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本标准由北京大学提出。</w:t>
      </w:r>
    </w:p>
    <w:p w14:paraId="31C433B8">
      <w:pPr>
        <w:widowControl/>
        <w:autoSpaceDE w:val="0"/>
        <w:autoSpaceDN w:val="0"/>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本标准由</w:t>
      </w:r>
      <w:r>
        <w:rPr>
          <w:rFonts w:hint="eastAsia" w:ascii="宋体" w:hAnsi="宋体"/>
          <w:color w:val="030303"/>
          <w:kern w:val="0"/>
          <w:shd w:val="clear" w:color="auto" w:fill="FFFFFF"/>
          <w:lang w:bidi="ar"/>
        </w:rPr>
        <w:t>中国民族卫生协会</w:t>
      </w:r>
      <w:r>
        <w:rPr>
          <w:rFonts w:hint="eastAsia" w:ascii="宋体" w:hAnsi="宋体"/>
          <w:kern w:val="0"/>
          <w:szCs w:val="20"/>
        </w:rPr>
        <w:t>归口。</w:t>
      </w:r>
    </w:p>
    <w:p w14:paraId="0B17C3AE">
      <w:pPr>
        <w:widowControl/>
        <w:autoSpaceDE w:val="0"/>
        <w:autoSpaceDN w:val="0"/>
        <w:adjustRightInd/>
        <w:snapToGrid w:val="0"/>
        <w:spacing w:line="360" w:lineRule="auto"/>
        <w:ind w:firstLine="420" w:firstLineChars="200"/>
        <w:jc w:val="left"/>
        <w:rPr>
          <w:rFonts w:hint="default" w:ascii="宋体" w:hAnsi="宋体"/>
          <w:kern w:val="0"/>
          <w:szCs w:val="20"/>
          <w:lang w:val="en-US" w:eastAsia="zh-CN"/>
        </w:rPr>
      </w:pPr>
      <w:r>
        <w:rPr>
          <w:rFonts w:hint="eastAsia" w:ascii="宋体" w:hAnsi="宋体"/>
          <w:kern w:val="0"/>
          <w:szCs w:val="20"/>
        </w:rPr>
        <w:t>本标准起草单位：北京大学、中国康复研究中心、天津中医药大学、四川大学、徐州医科大学</w:t>
      </w:r>
      <w:r>
        <w:rPr>
          <w:rFonts w:hint="eastAsia" w:ascii="宋体" w:hAnsi="宋体"/>
          <w:kern w:val="0"/>
          <w:szCs w:val="20"/>
          <w:lang w:eastAsia="zh-CN"/>
        </w:rPr>
        <w:t>、</w:t>
      </w:r>
      <w:r>
        <w:rPr>
          <w:rFonts w:hint="eastAsia" w:ascii="宋体" w:hAnsi="宋体"/>
          <w:kern w:val="0"/>
          <w:szCs w:val="20"/>
        </w:rPr>
        <w:t>首都医科大学附属北京安贞医院、遵义医科大学、天津医科大学</w:t>
      </w:r>
      <w:r>
        <w:rPr>
          <w:rFonts w:hint="eastAsia" w:ascii="宋体" w:hAnsi="宋体"/>
          <w:kern w:val="0"/>
          <w:szCs w:val="20"/>
          <w:lang w:eastAsia="zh-CN"/>
        </w:rPr>
        <w:t>、天津中医药大学第一附属医院、新疆哈密十三师红星医院、辽宁省金秋医院、陕西省康复医院、广东省工伤康复医院、浙江省康复医疗中心、甘肃省康复中心医院、温州医科大学、</w:t>
      </w:r>
      <w:r>
        <w:rPr>
          <w:rFonts w:hint="eastAsia" w:ascii="宋体" w:hAnsi="宋体"/>
          <w:kern w:val="0"/>
          <w:szCs w:val="20"/>
          <w:lang w:val="en-US" w:eastAsia="zh-CN"/>
        </w:rPr>
        <w:t>九江学院。</w:t>
      </w:r>
    </w:p>
    <w:p w14:paraId="7285D2C3">
      <w:pPr>
        <w:widowControl/>
        <w:autoSpaceDE w:val="0"/>
        <w:autoSpaceDN w:val="0"/>
        <w:snapToGrid w:val="0"/>
        <w:spacing w:line="360" w:lineRule="auto"/>
        <w:ind w:firstLine="420" w:firstLineChars="200"/>
        <w:jc w:val="left"/>
        <w:rPr>
          <w:rFonts w:hint="eastAsia" w:ascii="宋体" w:hAnsi="宋体"/>
          <w:kern w:val="0"/>
          <w:shd w:val="clear" w:color="auto" w:fill="FFFFFF"/>
          <w:lang w:bidi="ar"/>
        </w:rPr>
      </w:pPr>
      <w:r>
        <w:rPr>
          <w:rFonts w:hint="eastAsia" w:ascii="宋体" w:hAnsi="宋体"/>
          <w:kern w:val="0"/>
          <w:shd w:val="clear" w:color="auto" w:fill="FFFFFF"/>
          <w:lang w:bidi="ar"/>
        </w:rPr>
        <w:t>本标准主要起草人：吴俊慧、孙宏玉、卢守四、王耀刚、段熠</w:t>
      </w:r>
      <w:r>
        <w:rPr>
          <w:rFonts w:hint="eastAsia" w:ascii="宋体" w:hAnsi="宋体"/>
          <w:kern w:val="0"/>
          <w:shd w:val="clear" w:color="auto" w:fill="FFFFFF"/>
          <w:lang w:eastAsia="zh-CN" w:bidi="ar"/>
        </w:rPr>
        <w:t>、</w:t>
      </w:r>
      <w:r>
        <w:rPr>
          <w:rFonts w:hint="eastAsia" w:ascii="宋体" w:hAnsi="宋体"/>
          <w:kern w:val="0"/>
          <w:shd w:val="clear" w:color="auto" w:fill="FFFFFF"/>
          <w:lang w:val="en-US" w:eastAsia="zh-CN" w:bidi="ar"/>
        </w:rPr>
        <w:t>朱文迪、赵云鹤、刘梦玲、芦文丽、</w:t>
      </w:r>
      <w:r>
        <w:rPr>
          <w:rFonts w:hint="eastAsia" w:ascii="宋体" w:hAnsi="宋体"/>
          <w:kern w:val="0"/>
          <w:shd w:val="clear" w:color="auto" w:fill="FFFFFF"/>
          <w:lang w:bidi="ar"/>
        </w:rPr>
        <w:t>罗利、周芳、周迎生、邓仁丽、李华南</w:t>
      </w:r>
      <w:r>
        <w:rPr>
          <w:rFonts w:hint="eastAsia" w:ascii="宋体" w:hAnsi="宋体"/>
          <w:kern w:val="0"/>
          <w:shd w:val="clear" w:color="auto" w:fill="FFFFFF"/>
          <w:lang w:eastAsia="zh-CN" w:bidi="ar"/>
        </w:rPr>
        <w:t>、安占天、王勇勇、卜丽、陈大军、邵鸿生、徐彬、董超群</w:t>
      </w:r>
      <w:r>
        <w:rPr>
          <w:rFonts w:hint="eastAsia" w:ascii="宋体" w:hAnsi="宋体"/>
          <w:kern w:val="0"/>
          <w:shd w:val="clear" w:color="auto" w:fill="FFFFFF"/>
          <w:lang w:bidi="ar"/>
        </w:rPr>
        <w:t>。</w:t>
      </w:r>
    </w:p>
    <w:p w14:paraId="12F36CB7">
      <w:pPr>
        <w:widowControl/>
        <w:autoSpaceDE w:val="0"/>
        <w:autoSpaceDN w:val="0"/>
        <w:adjustRightInd/>
        <w:snapToGrid w:val="0"/>
        <w:spacing w:line="360" w:lineRule="auto"/>
        <w:ind w:firstLine="420" w:firstLineChars="200"/>
        <w:jc w:val="left"/>
        <w:rPr>
          <w:rFonts w:hint="eastAsia" w:ascii="宋体" w:hAnsi="宋体"/>
          <w:kern w:val="0"/>
          <w:szCs w:val="20"/>
        </w:rPr>
      </w:pPr>
      <w:r>
        <w:rPr>
          <w:rFonts w:hint="eastAsia" w:ascii="宋体" w:hAnsi="宋体"/>
          <w:kern w:val="0"/>
          <w:szCs w:val="20"/>
        </w:rPr>
        <w:t xml:space="preserve">本标准顾问： </w:t>
      </w:r>
    </w:p>
    <w:p w14:paraId="1F9E7549">
      <w:pPr>
        <w:widowControl/>
        <w:autoSpaceDE w:val="0"/>
        <w:autoSpaceDN w:val="0"/>
        <w:adjustRightInd/>
        <w:snapToGrid w:val="0"/>
        <w:spacing w:line="360" w:lineRule="auto"/>
        <w:ind w:firstLine="420" w:firstLineChars="200"/>
        <w:jc w:val="left"/>
        <w:rPr>
          <w:rFonts w:hint="eastAsia" w:ascii="宋体" w:hAnsi="宋体"/>
          <w:kern w:val="0"/>
          <w:szCs w:val="20"/>
        </w:rPr>
      </w:pPr>
      <w:r>
        <w:rPr>
          <w:rFonts w:hint="eastAsia" w:ascii="宋体" w:hAnsi="宋体"/>
          <w:kern w:val="0"/>
          <w:szCs w:val="20"/>
        </w:rPr>
        <w:t>本标准为首次发布。</w:t>
      </w:r>
    </w:p>
    <w:p w14:paraId="3BE97EEC"/>
    <w:p w14:paraId="4FB61941"/>
    <w:p w14:paraId="66AF704E">
      <w:pPr>
        <w:sectPr>
          <w:headerReference r:id="rId9" w:type="default"/>
          <w:footerReference r:id="rId10" w:type="default"/>
          <w:pgSz w:w="11906" w:h="16838"/>
          <w:pgMar w:top="975" w:right="1452" w:bottom="907" w:left="1440" w:header="851" w:footer="567" w:gutter="0"/>
          <w:pgBorders>
            <w:top w:val="none" w:sz="0" w:space="0"/>
            <w:left w:val="none" w:sz="0" w:space="0"/>
            <w:bottom w:val="none" w:sz="0" w:space="0"/>
            <w:right w:val="none" w:sz="0" w:space="0"/>
          </w:pgBorders>
          <w:pgNumType w:start="1"/>
          <w:cols w:space="425" w:num="1"/>
          <w:docGrid w:linePitch="312" w:charSpace="0"/>
        </w:sectPr>
      </w:pPr>
    </w:p>
    <w:p w14:paraId="55BBF238">
      <w:pPr>
        <w:autoSpaceDE w:val="0"/>
        <w:autoSpaceDN w:val="0"/>
        <w:adjustRightInd/>
        <w:spacing w:before="55" w:line="240" w:lineRule="auto"/>
        <w:ind w:right="35"/>
        <w:jc w:val="center"/>
        <w:outlineLvl w:val="9"/>
        <w:rPr>
          <w:rFonts w:hint="eastAsia" w:ascii="黑体" w:hAnsi="黑体" w:eastAsia="黑体" w:cs="黑体"/>
          <w:b/>
          <w:bCs/>
          <w:kern w:val="0"/>
          <w:sz w:val="28"/>
          <w:szCs w:val="28"/>
        </w:rPr>
      </w:pPr>
      <w:bookmarkStart w:id="4" w:name="_Toc206164548"/>
    </w:p>
    <w:p w14:paraId="6D6B9EC7">
      <w:pPr>
        <w:autoSpaceDE w:val="0"/>
        <w:autoSpaceDN w:val="0"/>
        <w:adjustRightInd/>
        <w:spacing w:before="55" w:line="240" w:lineRule="auto"/>
        <w:ind w:right="35"/>
        <w:jc w:val="center"/>
        <w:outlineLvl w:val="0"/>
        <w:rPr>
          <w:rFonts w:hint="eastAsia" w:ascii="宋体" w:hAnsi="宋体" w:cs="宋体"/>
          <w:kern w:val="0"/>
        </w:rPr>
      </w:pPr>
      <w:bookmarkStart w:id="5" w:name="_Toc24640"/>
      <w:r>
        <w:rPr>
          <w:rFonts w:hint="eastAsia" w:ascii="黑体" w:hAnsi="黑体" w:eastAsia="黑体" w:cs="黑体"/>
          <w:b/>
          <w:bCs/>
          <w:kern w:val="0"/>
          <w:sz w:val="28"/>
          <w:szCs w:val="28"/>
        </w:rPr>
        <w:t>引　言</w:t>
      </w:r>
      <w:bookmarkEnd w:id="4"/>
      <w:bookmarkEnd w:id="5"/>
    </w:p>
    <w:p w14:paraId="54B73B31">
      <w:pPr>
        <w:autoSpaceDE w:val="0"/>
        <w:autoSpaceDN w:val="0"/>
        <w:adjustRightInd/>
        <w:spacing w:line="240" w:lineRule="auto"/>
        <w:jc w:val="left"/>
        <w:rPr>
          <w:rFonts w:hint="eastAsia" w:ascii="宋体" w:hAnsi="宋体" w:cs="宋体"/>
          <w:kern w:val="0"/>
        </w:rPr>
      </w:pPr>
    </w:p>
    <w:p w14:paraId="70A14CC8">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eastAsia="宋体"/>
          <w:color w:val="030303"/>
          <w:kern w:val="0"/>
          <w:shd w:val="clear" w:color="auto" w:fill="FFFFFF"/>
          <w:lang w:eastAsia="zh-CN" w:bidi="ar"/>
        </w:rPr>
      </w:pPr>
      <w:r>
        <w:rPr>
          <w:rFonts w:hint="eastAsia" w:ascii="宋体" w:hAnsi="宋体"/>
          <w:color w:val="030303"/>
          <w:kern w:val="0"/>
          <w:shd w:val="clear" w:color="auto" w:fill="FFFFFF"/>
          <w:lang w:bidi="ar"/>
        </w:rPr>
        <w:t>为贯彻落实《“健康中国2030”规划纲要》和《国家标准化发展纲要》有关要求，全面推进以人为核心的全生命周期健康管理，积极应对</w:t>
      </w:r>
      <w:r>
        <w:rPr>
          <w:rFonts w:hint="eastAsia" w:ascii="宋体" w:hAnsi="宋体"/>
          <w:color w:val="030303"/>
          <w:kern w:val="0"/>
          <w:shd w:val="clear" w:color="auto" w:fill="FFFFFF"/>
          <w:lang w:val="en-US" w:eastAsia="zh-CN" w:bidi="ar"/>
        </w:rPr>
        <w:t>我国</w:t>
      </w:r>
      <w:r>
        <w:rPr>
          <w:rFonts w:hint="eastAsia" w:ascii="宋体" w:hAnsi="宋体"/>
          <w:color w:val="030303"/>
          <w:kern w:val="0"/>
          <w:shd w:val="clear" w:color="auto" w:fill="FFFFFF"/>
          <w:lang w:bidi="ar"/>
        </w:rPr>
        <w:t>心脑血管疾病、癌症、慢性呼吸系统疾病、糖尿病等重大慢性病（以下简称“重大慢病”）带来的严峻公共卫生挑战</w:t>
      </w:r>
      <w:r>
        <w:rPr>
          <w:rFonts w:hint="eastAsia" w:ascii="宋体" w:hAnsi="宋体"/>
          <w:color w:val="030303"/>
          <w:kern w:val="0"/>
          <w:shd w:val="clear" w:color="auto" w:fill="FFFFFF"/>
          <w:lang w:eastAsia="zh-CN" w:bidi="ar"/>
        </w:rPr>
        <w:t>，</w:t>
      </w:r>
      <w:r>
        <w:rPr>
          <w:rFonts w:hint="eastAsia" w:ascii="宋体" w:hAnsi="宋体"/>
          <w:color w:val="030303"/>
          <w:kern w:val="0"/>
          <w:shd w:val="clear" w:color="auto" w:fill="FFFFFF"/>
          <w:lang w:val="en-US" w:eastAsia="zh-CN" w:bidi="ar"/>
        </w:rPr>
        <w:t>鉴于</w:t>
      </w:r>
      <w:r>
        <w:rPr>
          <w:rFonts w:hint="eastAsia" w:ascii="宋体" w:hAnsi="宋体"/>
          <w:color w:val="030303"/>
          <w:kern w:val="0"/>
          <w:shd w:val="clear" w:color="auto" w:fill="FFFFFF"/>
          <w:lang w:bidi="ar"/>
        </w:rPr>
        <w:t>重大慢病病程长、负担重、致残致死率高等特点，其防治</w:t>
      </w:r>
      <w:r>
        <w:rPr>
          <w:rFonts w:hint="eastAsia" w:ascii="宋体" w:hAnsi="宋体"/>
          <w:color w:val="030303"/>
          <w:kern w:val="0"/>
          <w:shd w:val="clear" w:color="auto" w:fill="FFFFFF"/>
          <w:lang w:eastAsia="zh-CN" w:bidi="ar"/>
        </w:rPr>
        <w:t>工作</w:t>
      </w:r>
      <w:r>
        <w:rPr>
          <w:rFonts w:hint="eastAsia" w:ascii="宋体" w:hAnsi="宋体"/>
          <w:color w:val="030303"/>
          <w:kern w:val="0"/>
          <w:shd w:val="clear" w:color="auto" w:fill="FFFFFF"/>
          <w:lang w:bidi="ar"/>
        </w:rPr>
        <w:t>是一项</w:t>
      </w:r>
      <w:r>
        <w:rPr>
          <w:rFonts w:hint="eastAsia" w:ascii="宋体" w:hAnsi="宋体"/>
          <w:color w:val="030303"/>
          <w:kern w:val="0"/>
          <w:shd w:val="clear" w:color="auto" w:fill="FFFFFF"/>
          <w:lang w:eastAsia="zh-CN" w:bidi="ar"/>
        </w:rPr>
        <w:t>涵盖</w:t>
      </w:r>
      <w:r>
        <w:rPr>
          <w:rFonts w:hint="eastAsia" w:ascii="宋体" w:hAnsi="宋体"/>
          <w:color w:val="030303"/>
          <w:kern w:val="0"/>
          <w:shd w:val="clear" w:color="auto" w:fill="FFFFFF"/>
          <w:lang w:bidi="ar"/>
        </w:rPr>
        <w:t>预防、筛查、诊断、治疗、康复和护理的连续、系统工程。然而，当前我国慢病防治服务体系在</w:t>
      </w:r>
      <w:r>
        <w:rPr>
          <w:rFonts w:hint="eastAsia" w:ascii="宋体" w:hAnsi="宋体"/>
          <w:color w:val="030303"/>
          <w:kern w:val="0"/>
          <w:shd w:val="clear" w:color="auto" w:fill="FFFFFF"/>
          <w:lang w:val="en-US" w:eastAsia="zh-CN" w:bidi="ar"/>
        </w:rPr>
        <w:t>环节衔接，标准统一等方面尚有欠缺。本标准旨在</w:t>
      </w:r>
      <w:r>
        <w:rPr>
          <w:rFonts w:hint="eastAsia" w:ascii="宋体" w:hAnsi="宋体"/>
          <w:color w:val="030303"/>
          <w:kern w:val="0"/>
          <w:shd w:val="clear" w:color="auto" w:fill="FFFFFF"/>
          <w:lang w:bidi="ar"/>
        </w:rPr>
        <w:t>制定一套系统整合、规范统一、可操作性强且能贯通各级各类服务机构的技术标准，以提升服务的同质化与连续性。</w:t>
      </w:r>
    </w:p>
    <w:p w14:paraId="705353AE">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auto"/>
        <w:rPr>
          <w:rFonts w:hint="default" w:ascii="宋体" w:hAnsi="宋体" w:eastAsia="宋体"/>
          <w:color w:val="030303"/>
          <w:kern w:val="0"/>
          <w:shd w:val="clear" w:color="auto" w:fill="FFFFFF"/>
          <w:lang w:val="en-US" w:eastAsia="zh-CN" w:bidi="ar"/>
        </w:rPr>
        <w:sectPr>
          <w:headerReference r:id="rId11" w:type="default"/>
          <w:footerReference r:id="rId12" w:type="even"/>
          <w:pgSz w:w="11906" w:h="16838"/>
          <w:pgMar w:top="975" w:right="1452" w:bottom="907" w:left="1440" w:header="851" w:footer="567" w:gutter="0"/>
          <w:pgBorders>
            <w:top w:val="none" w:sz="0" w:space="0"/>
            <w:left w:val="none" w:sz="0" w:space="0"/>
            <w:bottom w:val="none" w:sz="0" w:space="0"/>
            <w:right w:val="none" w:sz="0" w:space="0"/>
          </w:pgBorders>
          <w:pgNumType w:start="1"/>
          <w:cols w:space="425" w:num="1"/>
          <w:docGrid w:linePitch="312" w:charSpace="0"/>
        </w:sectPr>
      </w:pPr>
      <w:r>
        <w:rPr>
          <w:rFonts w:hint="eastAsia" w:ascii="宋体" w:hAnsi="宋体"/>
          <w:color w:val="030303"/>
          <w:kern w:val="0"/>
          <w:shd w:val="clear" w:color="auto" w:fill="FFFFFF"/>
          <w:lang w:val="en-US" w:eastAsia="zh-CN" w:bidi="ar"/>
        </w:rPr>
        <w:t>本标准明确规范了科学循证、公平可及、整合协同和动态优化的设计原则，以及各级技术指标（包括一级模块、二级节点、三级技术）及其具体内涵。旨在为各级医疗机构（如社区卫生服务中心、医院）及非医疗机构（康复中心、护理院等）开展慢病服务提供技术实施依据。通过本标准的实施，推动慢病医疗服务从碎片化向整合式转变，助力慢病发病率的有效控制、服务质量的全面提升和患者生活质量的改善，为夯实“健康中国”建设基石提供标准化支撑。</w:t>
      </w:r>
    </w:p>
    <w:p w14:paraId="5D255741">
      <w:pPr>
        <w:pStyle w:val="59"/>
        <w:snapToGrid w:val="0"/>
        <w:spacing w:before="240" w:beforeLines="100" w:after="600" w:afterLines="250" w:line="288" w:lineRule="auto"/>
        <w:ind w:firstLine="640"/>
        <w:jc w:val="center"/>
        <w:rPr>
          <w:rFonts w:hint="eastAsia" w:ascii="黑体" w:hAnsi="黑体" w:eastAsia="黑体"/>
          <w:sz w:val="32"/>
          <w:szCs w:val="32"/>
        </w:rPr>
      </w:pPr>
      <w:r>
        <w:rPr>
          <w:rFonts w:hint="eastAsia" w:ascii="黑体" w:hAnsi="黑体" w:eastAsia="黑体"/>
          <w:sz w:val="32"/>
          <w:szCs w:val="32"/>
        </w:rPr>
        <w:t>重大慢病“防、筛、管、治、康、护”服务技术标准</w:t>
      </w:r>
    </w:p>
    <w:p w14:paraId="7C914A93">
      <w:pPr>
        <w:pStyle w:val="64"/>
        <w:numPr>
          <w:ilvl w:val="1"/>
          <w:numId w:val="0"/>
        </w:numPr>
        <w:adjustRightInd w:val="0"/>
        <w:snapToGrid w:val="0"/>
        <w:spacing w:before="240" w:after="240" w:line="360" w:lineRule="auto"/>
        <w:jc w:val="left"/>
        <w:rPr>
          <w:rFonts w:ascii="Times New Roman"/>
          <w:b/>
          <w:bCs/>
          <w:szCs w:val="21"/>
        </w:rPr>
      </w:pPr>
      <w:bookmarkStart w:id="6" w:name="_Toc29765"/>
      <w:bookmarkStart w:id="7" w:name="_Toc206164549"/>
      <w:bookmarkStart w:id="8" w:name="_Toc11532"/>
      <w:bookmarkStart w:id="9" w:name="_Toc26986531"/>
      <w:bookmarkStart w:id="10" w:name="_Toc24884212"/>
      <w:bookmarkStart w:id="11" w:name="_Toc26718931"/>
      <w:bookmarkStart w:id="12" w:name="_Toc24884219"/>
      <w:bookmarkStart w:id="13" w:name="_Toc26986772"/>
      <w:bookmarkStart w:id="14" w:name="_Toc17233326"/>
      <w:bookmarkStart w:id="15" w:name="_Toc97192965"/>
      <w:bookmarkStart w:id="16" w:name="_Toc17233334"/>
      <w:bookmarkStart w:id="17" w:name="_Toc26648466"/>
      <w:r>
        <w:rPr>
          <w:rFonts w:hint="eastAsia" w:hAnsi="黑体" w:cs="黑体"/>
          <w:b/>
          <w:bCs/>
          <w:szCs w:val="21"/>
        </w:rPr>
        <w:t>1 适用范围</w:t>
      </w:r>
      <w:bookmarkEnd w:id="6"/>
      <w:bookmarkEnd w:id="7"/>
      <w:bookmarkEnd w:id="8"/>
      <w:r>
        <w:rPr>
          <w:rFonts w:hint="eastAsia" w:hAnsi="黑体" w:cs="黑体"/>
          <w:b/>
          <w:bCs/>
          <w:szCs w:val="21"/>
        </w:rPr>
        <w:t xml:space="preserve"> </w:t>
      </w:r>
    </w:p>
    <w:p w14:paraId="2FB4F587">
      <w:pPr>
        <w:pStyle w:val="64"/>
        <w:numPr>
          <w:ilvl w:val="1"/>
          <w:numId w:val="0"/>
        </w:numPr>
        <w:snapToGrid w:val="0"/>
        <w:spacing w:before="240" w:after="240" w:line="360" w:lineRule="auto"/>
        <w:outlineLvl w:val="9"/>
        <w:rPr>
          <w:rFonts w:ascii="Times New Roman" w:eastAsia="宋体"/>
          <w:kern w:val="2"/>
          <w:szCs w:val="21"/>
        </w:rPr>
      </w:pPr>
      <w:bookmarkStart w:id="18" w:name="_Toc16995"/>
      <w:bookmarkStart w:id="19" w:name="_Toc206164550"/>
      <w:r>
        <w:rPr>
          <w:rFonts w:hint="eastAsia" w:ascii="Times New Roman" w:eastAsia="宋体"/>
          <w:kern w:val="2"/>
          <w:szCs w:val="21"/>
        </w:rPr>
        <w:t>本标准适用范围如下：</w:t>
      </w:r>
      <w:r>
        <w:rPr>
          <w:rFonts w:ascii="Times New Roman" w:eastAsia="宋体"/>
          <w:kern w:val="2"/>
          <w:szCs w:val="21"/>
        </w:rPr>
        <w:t>​</w:t>
      </w:r>
    </w:p>
    <w:p w14:paraId="71719A00">
      <w:pPr>
        <w:pStyle w:val="64"/>
        <w:numPr>
          <w:ilvl w:val="1"/>
          <w:numId w:val="0"/>
        </w:numPr>
        <w:snapToGrid w:val="0"/>
        <w:spacing w:before="240" w:after="240" w:line="360" w:lineRule="auto"/>
        <w:outlineLvl w:val="9"/>
        <w:rPr>
          <w:rFonts w:ascii="Times New Roman" w:eastAsia="宋体"/>
          <w:kern w:val="2"/>
          <w:szCs w:val="21"/>
        </w:rPr>
      </w:pPr>
      <w:r>
        <w:rPr>
          <w:rFonts w:hint="eastAsia" w:ascii="Times New Roman" w:eastAsia="宋体"/>
          <w:kern w:val="2"/>
          <w:szCs w:val="21"/>
        </w:rPr>
        <w:t>（1）适用人群。本标准适用于糖尿病、心脑血管疾病、慢性呼吸系统疾病、肿瘤等重大慢病的全生命周期管理对象，具体包括：健康人群、高危人群、现患人群及康复期患者。</w:t>
      </w:r>
      <w:r>
        <w:rPr>
          <w:rFonts w:ascii="Times New Roman" w:eastAsia="宋体"/>
          <w:kern w:val="2"/>
          <w:szCs w:val="21"/>
        </w:rPr>
        <w:t>​</w:t>
      </w:r>
    </w:p>
    <w:p w14:paraId="2E2DDF52">
      <w:pPr>
        <w:pStyle w:val="64"/>
        <w:numPr>
          <w:ilvl w:val="1"/>
          <w:numId w:val="0"/>
        </w:numPr>
        <w:snapToGrid w:val="0"/>
        <w:spacing w:before="240" w:after="240" w:line="360" w:lineRule="auto"/>
        <w:outlineLvl w:val="9"/>
        <w:rPr>
          <w:rFonts w:ascii="Times New Roman" w:eastAsia="宋体"/>
          <w:kern w:val="2"/>
          <w:szCs w:val="21"/>
        </w:rPr>
      </w:pPr>
      <w:r>
        <w:rPr>
          <w:rFonts w:hint="eastAsia" w:ascii="Times New Roman" w:eastAsia="宋体"/>
          <w:kern w:val="2"/>
          <w:szCs w:val="21"/>
        </w:rPr>
        <w:t>（2）适用机构。本标准适用于各级各类医疗机构与非医疗机构：其中，医疗机构包括社区卫生服务中心、乡镇卫生院、二级医院、三级医院；非医疗机构包括康复中心、护理院、健康管理机构及社会公益组织。</w:t>
      </w:r>
    </w:p>
    <w:p w14:paraId="6006B93B">
      <w:pPr>
        <w:pStyle w:val="64"/>
        <w:numPr>
          <w:ilvl w:val="1"/>
          <w:numId w:val="0"/>
        </w:numPr>
        <w:adjustRightInd w:val="0"/>
        <w:snapToGrid w:val="0"/>
        <w:spacing w:before="240" w:after="240" w:line="360" w:lineRule="auto"/>
        <w:jc w:val="left"/>
        <w:rPr>
          <w:rFonts w:hint="eastAsia" w:ascii="Times New Roman"/>
          <w:b/>
          <w:bCs/>
          <w:szCs w:val="21"/>
        </w:rPr>
      </w:pPr>
      <w:bookmarkStart w:id="20" w:name="_Toc20848"/>
      <w:r>
        <w:rPr>
          <w:rFonts w:hint="eastAsia" w:hAnsi="黑体" w:cs="黑体"/>
          <w:b/>
          <w:bCs/>
          <w:szCs w:val="21"/>
        </w:rPr>
        <w:t>2 规范</w:t>
      </w:r>
      <w:r>
        <w:rPr>
          <w:rFonts w:ascii="Times New Roman"/>
          <w:b/>
          <w:bCs/>
          <w:szCs w:val="21"/>
        </w:rPr>
        <w:t>性引用文件</w:t>
      </w:r>
      <w:bookmarkEnd w:id="9"/>
      <w:bookmarkEnd w:id="10"/>
      <w:bookmarkEnd w:id="11"/>
      <w:bookmarkEnd w:id="12"/>
      <w:bookmarkEnd w:id="13"/>
      <w:bookmarkEnd w:id="14"/>
      <w:bookmarkEnd w:id="15"/>
      <w:bookmarkEnd w:id="16"/>
      <w:bookmarkEnd w:id="17"/>
      <w:bookmarkEnd w:id="18"/>
      <w:bookmarkEnd w:id="19"/>
      <w:bookmarkEnd w:id="20"/>
      <w:r>
        <w:rPr>
          <w:rFonts w:hint="eastAsia" w:ascii="Times New Roman"/>
          <w:b/>
          <w:bCs/>
          <w:szCs w:val="21"/>
        </w:rPr>
        <w:t xml:space="preserve">  </w:t>
      </w:r>
    </w:p>
    <w:p w14:paraId="7CFCF029">
      <w:pPr>
        <w:spacing w:line="360" w:lineRule="auto"/>
        <w:ind w:firstLine="420" w:firstLineChars="200"/>
        <w:rPr>
          <w:rFonts w:hint="eastAsia" w:ascii="Times New Roman" w:hAnsi="Times New Roman"/>
        </w:rPr>
      </w:pPr>
      <w:r>
        <w:rPr>
          <w:rFonts w:hint="eastAsia" w:ascii="Times New Roman" w:hAnsi="Times New Roman"/>
        </w:rPr>
        <w:t>下列文件中的内容通过文中的规范性引用而构成本文件必不可少的条款。其中，标注日期的引用文件，仅该日期对应的版本适用于本文件；不标注日期的引用文件，其最新版本（包括所有的修改单）适用于本文件。</w:t>
      </w:r>
    </w:p>
    <w:p w14:paraId="4E0CBD5B">
      <w:pPr>
        <w:spacing w:line="360" w:lineRule="auto"/>
        <w:ind w:firstLine="420" w:firstLineChars="200"/>
        <w:rPr>
          <w:rFonts w:ascii="Times New Roman" w:hAnsi="Times New Roman"/>
          <w:color w:val="auto"/>
        </w:rPr>
      </w:pPr>
      <w:r>
        <w:rPr>
          <w:rFonts w:hint="eastAsia" w:ascii="Times New Roman" w:hAnsi="Times New Roman"/>
          <w:color w:val="auto"/>
        </w:rPr>
        <w:t>《慢病医防融合分级诊疗指南》T/CRHA150-2025（慢病管理服务流程：筛查确诊，风险评估）</w:t>
      </w:r>
    </w:p>
    <w:p w14:paraId="10FA0B79">
      <w:pPr>
        <w:spacing w:line="360" w:lineRule="auto"/>
        <w:ind w:firstLine="420" w:firstLineChars="200"/>
        <w:rPr>
          <w:rFonts w:hint="eastAsia" w:ascii="Times New Roman" w:hAnsi="Times New Roman"/>
          <w:color w:val="auto"/>
          <w:lang w:eastAsia="zh-CN"/>
        </w:rPr>
      </w:pPr>
      <w:r>
        <w:rPr>
          <w:rFonts w:hint="eastAsia" w:ascii="Times New Roman" w:hAnsi="Times New Roman"/>
          <w:color w:val="auto"/>
          <w:lang w:eastAsia="zh-CN"/>
        </w:rPr>
        <w:t>《</w:t>
      </w:r>
      <w:r>
        <w:rPr>
          <w:rFonts w:hint="eastAsia" w:ascii="Times New Roman" w:hAnsi="Times New Roman"/>
          <w:color w:val="auto"/>
        </w:rPr>
        <w:t>脑卒中踝足矫形器应用指南</w:t>
      </w:r>
      <w:r>
        <w:rPr>
          <w:rFonts w:hint="eastAsia" w:ascii="Times New Roman" w:hAnsi="Times New Roman"/>
          <w:color w:val="auto"/>
          <w:lang w:eastAsia="zh-CN"/>
        </w:rPr>
        <w:t>》</w:t>
      </w:r>
      <w:r>
        <w:rPr>
          <w:rFonts w:hint="eastAsia" w:ascii="Times New Roman" w:hAnsi="Times New Roman"/>
          <w:color w:val="auto"/>
        </w:rPr>
        <w:t xml:space="preserve">GB/T 42772-2023 </w:t>
      </w:r>
      <w:r>
        <w:rPr>
          <w:rFonts w:hint="eastAsia" w:ascii="Times New Roman" w:hAnsi="Times New Roman"/>
          <w:color w:val="auto"/>
          <w:lang w:eastAsia="zh-CN"/>
        </w:rPr>
        <w:tab/>
      </w:r>
    </w:p>
    <w:p w14:paraId="47E0EC9E">
      <w:pPr>
        <w:spacing w:line="360" w:lineRule="auto"/>
        <w:ind w:firstLine="420" w:firstLineChars="200"/>
        <w:rPr>
          <w:rFonts w:hint="eastAsia" w:ascii="Times New Roman" w:hAnsi="Times New Roman"/>
          <w:color w:val="auto"/>
          <w:lang w:eastAsia="zh-CN"/>
        </w:rPr>
      </w:pPr>
      <w:r>
        <w:rPr>
          <w:rFonts w:hint="eastAsia" w:ascii="Times New Roman" w:hAnsi="Times New Roman"/>
          <w:color w:val="auto"/>
          <w:lang w:eastAsia="zh-CN"/>
        </w:rPr>
        <w:t xml:space="preserve">《高血压健康教育规范》DB36/T 2101-2024  </w:t>
      </w:r>
    </w:p>
    <w:p w14:paraId="6549AF62">
      <w:pPr>
        <w:spacing w:line="360" w:lineRule="auto"/>
        <w:ind w:firstLine="420" w:firstLineChars="200"/>
        <w:rPr>
          <w:rFonts w:hint="eastAsia" w:ascii="Times New Roman" w:hAnsi="Times New Roman"/>
          <w:color w:val="auto"/>
          <w:lang w:eastAsia="zh-CN"/>
        </w:rPr>
      </w:pPr>
      <w:r>
        <w:rPr>
          <w:rFonts w:hint="eastAsia" w:ascii="Times New Roman" w:hAnsi="Times New Roman"/>
          <w:color w:val="auto"/>
          <w:lang w:eastAsia="zh-CN"/>
        </w:rPr>
        <w:t xml:space="preserve">《成人糖尿病患者膳食指导》WS/T 429-2013  </w:t>
      </w:r>
    </w:p>
    <w:p w14:paraId="4CBCDF77">
      <w:pPr>
        <w:spacing w:line="360" w:lineRule="auto"/>
        <w:ind w:firstLine="420" w:firstLineChars="200"/>
        <w:rPr>
          <w:rFonts w:hint="eastAsia" w:ascii="Times New Roman" w:hAnsi="Times New Roman"/>
          <w:color w:val="auto"/>
          <w:lang w:eastAsia="zh-CN"/>
        </w:rPr>
      </w:pPr>
      <w:r>
        <w:rPr>
          <w:rFonts w:hint="eastAsia" w:ascii="Times New Roman" w:hAnsi="Times New Roman"/>
          <w:color w:val="auto"/>
          <w:lang w:eastAsia="zh-CN"/>
        </w:rPr>
        <w:t xml:space="preserve">《恶性肿瘤临床研究数据集 第3部分：肺癌》DB11/T 2275.3-2024 </w:t>
      </w:r>
    </w:p>
    <w:p w14:paraId="55110872">
      <w:pPr>
        <w:spacing w:line="360" w:lineRule="auto"/>
        <w:ind w:firstLine="420" w:firstLineChars="200"/>
        <w:rPr>
          <w:rFonts w:hint="eastAsia" w:ascii="Times New Roman" w:hAnsi="Times New Roman"/>
          <w:color w:val="auto"/>
          <w:lang w:eastAsia="zh-CN"/>
        </w:rPr>
      </w:pPr>
      <w:r>
        <w:rPr>
          <w:rFonts w:hint="eastAsia" w:ascii="Times New Roman" w:hAnsi="Times New Roman"/>
          <w:color w:val="auto"/>
          <w:lang w:eastAsia="zh-CN"/>
        </w:rPr>
        <w:t xml:space="preserve">《慢性阻塞性肺疾病健康管理规范》DB14/T 3564—2025 </w:t>
      </w:r>
    </w:p>
    <w:p w14:paraId="10DFEB6A">
      <w:pPr>
        <w:spacing w:line="360" w:lineRule="auto"/>
        <w:ind w:firstLine="420" w:firstLineChars="200"/>
        <w:rPr>
          <w:rFonts w:hint="eastAsia" w:ascii="Times New Roman" w:hAnsi="Times New Roman"/>
          <w:color w:val="auto"/>
          <w:lang w:eastAsia="zh-CN"/>
        </w:rPr>
      </w:pPr>
      <w:r>
        <w:rPr>
          <w:rFonts w:hint="eastAsia" w:ascii="Times New Roman" w:hAnsi="Times New Roman"/>
          <w:color w:val="auto"/>
          <w:lang w:eastAsia="zh-CN"/>
        </w:rPr>
        <w:t xml:space="preserve">《健康管理保健服务规范》GB/T 39509-2020 </w:t>
      </w:r>
    </w:p>
    <w:p w14:paraId="23C2C27A">
      <w:pPr>
        <w:spacing w:line="360" w:lineRule="auto"/>
        <w:ind w:firstLine="420" w:firstLineChars="200"/>
        <w:rPr>
          <w:rFonts w:ascii="Times New Roman" w:hAnsi="Times New Roman"/>
          <w:color w:val="auto"/>
          <w:sz w:val="30"/>
          <w:szCs w:val="30"/>
        </w:rPr>
      </w:pPr>
      <w:r>
        <w:rPr>
          <w:rFonts w:hint="eastAsia" w:ascii="Times New Roman" w:hAnsi="Times New Roman"/>
          <w:color w:val="auto"/>
        </w:rPr>
        <w:t>《非小细胞癌中西医结合诊疗指南》T/CACM 1613-2024</w:t>
      </w:r>
    </w:p>
    <w:p w14:paraId="2A1F651B">
      <w:pPr>
        <w:spacing w:line="360" w:lineRule="auto"/>
        <w:ind w:firstLine="420" w:firstLineChars="200"/>
        <w:rPr>
          <w:rFonts w:ascii="Times New Roman" w:hAnsi="Times New Roman"/>
          <w:color w:val="auto"/>
        </w:rPr>
      </w:pPr>
      <w:r>
        <w:rPr>
          <w:rFonts w:hint="eastAsia" w:ascii="Times New Roman" w:hAnsi="Times New Roman"/>
          <w:color w:val="auto"/>
        </w:rPr>
        <w:t>《安宁疗护人文关怀服务指南》T/CALC 010-2025</w:t>
      </w:r>
    </w:p>
    <w:p w14:paraId="24431BDF">
      <w:pPr>
        <w:spacing w:line="360" w:lineRule="auto"/>
        <w:ind w:firstLine="420" w:firstLineChars="200"/>
        <w:rPr>
          <w:rFonts w:hint="eastAsia" w:ascii="Times New Roman" w:hAnsi="Times New Roman"/>
          <w:color w:val="auto"/>
        </w:rPr>
      </w:pPr>
      <w:r>
        <w:rPr>
          <w:rFonts w:hint="eastAsia" w:ascii="Times New Roman" w:hAnsi="Times New Roman"/>
          <w:color w:val="auto"/>
        </w:rPr>
        <w:t>《社区心血管病高危人群随访管理规范》T/JPMA 029-2025</w:t>
      </w:r>
    </w:p>
    <w:p w14:paraId="12B9DD1A">
      <w:pPr>
        <w:spacing w:line="360" w:lineRule="auto"/>
        <w:ind w:firstLine="420" w:firstLineChars="200"/>
        <w:rPr>
          <w:rFonts w:hint="eastAsia" w:ascii="Times New Roman" w:hAnsi="Times New Roman" w:eastAsia="宋体"/>
          <w:color w:val="auto"/>
          <w:lang w:eastAsia="zh-CN"/>
        </w:rPr>
      </w:pPr>
      <w:r>
        <w:rPr>
          <w:rFonts w:hint="eastAsia" w:ascii="Times New Roman" w:hAnsi="Times New Roman"/>
          <w:color w:val="auto"/>
          <w:lang w:eastAsia="zh-CN"/>
        </w:rPr>
        <w:t>《</w:t>
      </w:r>
      <w:r>
        <w:rPr>
          <w:rFonts w:hint="eastAsia" w:ascii="Times New Roman" w:hAnsi="Times New Roman"/>
          <w:color w:val="auto"/>
        </w:rPr>
        <w:t>缺血性脑卒中诊断和诊疗质量控制</w:t>
      </w:r>
      <w:r>
        <w:rPr>
          <w:rFonts w:hint="eastAsia" w:ascii="Times New Roman" w:hAnsi="Times New Roman"/>
          <w:color w:val="auto"/>
          <w:lang w:eastAsia="zh-CN"/>
        </w:rPr>
        <w:t>》</w:t>
      </w:r>
      <w:r>
        <w:rPr>
          <w:rFonts w:hint="eastAsia" w:ascii="Times New Roman" w:hAnsi="Times New Roman"/>
          <w:color w:val="auto"/>
        </w:rPr>
        <w:t>WS/T398-2012</w:t>
      </w:r>
    </w:p>
    <w:p w14:paraId="3E0E92CC">
      <w:pPr>
        <w:spacing w:line="360" w:lineRule="auto"/>
        <w:ind w:firstLine="420" w:firstLineChars="200"/>
        <w:rPr>
          <w:rFonts w:hint="eastAsia" w:ascii="Times New Roman" w:hAnsi="Times New Roman"/>
          <w:color w:val="auto"/>
        </w:rPr>
      </w:pPr>
      <w:r>
        <w:rPr>
          <w:rFonts w:hint="eastAsia" w:ascii="Times New Roman" w:hAnsi="Times New Roman"/>
          <w:color w:val="auto"/>
          <w:lang w:eastAsia="zh-CN"/>
        </w:rPr>
        <w:t>《</w:t>
      </w:r>
      <w:r>
        <w:rPr>
          <w:rFonts w:hint="eastAsia" w:ascii="Times New Roman" w:hAnsi="Times New Roman"/>
          <w:color w:val="auto"/>
        </w:rPr>
        <w:t>脑卒中患者膳食指导</w:t>
      </w:r>
      <w:r>
        <w:rPr>
          <w:rFonts w:hint="eastAsia" w:ascii="Times New Roman" w:hAnsi="Times New Roman"/>
          <w:color w:val="auto"/>
          <w:lang w:eastAsia="zh-CN"/>
        </w:rPr>
        <w:t>》</w:t>
      </w:r>
      <w:r>
        <w:rPr>
          <w:rFonts w:hint="eastAsia" w:ascii="Times New Roman" w:hAnsi="Times New Roman"/>
          <w:color w:val="auto"/>
        </w:rPr>
        <w:t>WS/T558-2017</w:t>
      </w:r>
    </w:p>
    <w:p w14:paraId="61C2AF4A">
      <w:pPr>
        <w:spacing w:line="360" w:lineRule="auto"/>
        <w:ind w:firstLine="420" w:firstLineChars="200"/>
        <w:rPr>
          <w:rFonts w:hint="eastAsia" w:ascii="Times New Roman" w:hAnsi="Times New Roman"/>
        </w:rPr>
      </w:pPr>
    </w:p>
    <w:p w14:paraId="2215857A">
      <w:pPr>
        <w:pStyle w:val="64"/>
        <w:numPr>
          <w:ilvl w:val="1"/>
          <w:numId w:val="0"/>
        </w:numPr>
        <w:adjustRightInd w:val="0"/>
        <w:snapToGrid w:val="0"/>
        <w:spacing w:before="240" w:after="240" w:line="360" w:lineRule="auto"/>
        <w:jc w:val="left"/>
        <w:rPr>
          <w:rFonts w:ascii="Times New Roman"/>
          <w:b/>
          <w:bCs/>
          <w:szCs w:val="21"/>
        </w:rPr>
      </w:pPr>
      <w:bookmarkStart w:id="21" w:name="_Toc206164551"/>
      <w:bookmarkStart w:id="22" w:name="_Toc97192966"/>
      <w:bookmarkStart w:id="23" w:name="_Toc8046"/>
      <w:bookmarkStart w:id="24" w:name="_Toc6857"/>
      <w:r>
        <w:rPr>
          <w:rFonts w:hint="eastAsia" w:hAnsi="黑体" w:cs="黑体"/>
          <w:b/>
          <w:bCs/>
          <w:szCs w:val="21"/>
        </w:rPr>
        <w:t xml:space="preserve">3 </w:t>
      </w:r>
      <w:r>
        <w:rPr>
          <w:rFonts w:ascii="Times New Roman"/>
          <w:b/>
          <w:bCs/>
          <w:szCs w:val="21"/>
        </w:rPr>
        <w:t>术语和定义</w:t>
      </w:r>
      <w:bookmarkEnd w:id="21"/>
      <w:bookmarkEnd w:id="22"/>
      <w:bookmarkEnd w:id="23"/>
      <w:bookmarkEnd w:id="24"/>
    </w:p>
    <w:p w14:paraId="0BD92DEE">
      <w:pPr>
        <w:pStyle w:val="59"/>
        <w:spacing w:line="360" w:lineRule="auto"/>
        <w:ind w:firstLine="420"/>
        <w:rPr>
          <w:rFonts w:ascii="Times New Roman"/>
        </w:rPr>
      </w:pPr>
      <w:bookmarkStart w:id="25" w:name="_Toc26986532"/>
      <w:bookmarkEnd w:id="25"/>
      <w:r>
        <w:rPr>
          <w:rFonts w:ascii="Times New Roman"/>
        </w:rPr>
        <w:t>下列术语和定义适用于本</w:t>
      </w:r>
      <w:r>
        <w:rPr>
          <w:rFonts w:hint="eastAsia" w:ascii="Times New Roman"/>
        </w:rPr>
        <w:t>标准</w:t>
      </w:r>
      <w:r>
        <w:rPr>
          <w:rFonts w:ascii="Times New Roman"/>
        </w:rPr>
        <w:t>。</w:t>
      </w:r>
    </w:p>
    <w:p w14:paraId="5D74594A">
      <w:pPr>
        <w:pStyle w:val="59"/>
        <w:spacing w:line="360" w:lineRule="auto"/>
        <w:ind w:firstLine="422"/>
        <w:rPr>
          <w:rFonts w:hint="eastAsia" w:ascii="Times New Roman" w:eastAsia="宋体"/>
          <w:b/>
          <w:bCs/>
          <w:lang w:eastAsia="zh-CN"/>
        </w:rPr>
      </w:pPr>
      <w:r>
        <w:rPr>
          <w:rFonts w:hint="eastAsia" w:ascii="Times New Roman"/>
          <w:b/>
          <w:bCs/>
        </w:rPr>
        <w:t>3.1 重大慢病</w:t>
      </w:r>
      <w:r>
        <w:rPr>
          <w:rFonts w:hint="eastAsia" w:ascii="Times New Roman"/>
          <w:b/>
          <w:bCs/>
          <w:lang w:val="en-US" w:eastAsia="zh-CN"/>
        </w:rPr>
        <w:t xml:space="preserve"> m</w:t>
      </w:r>
      <w:r>
        <w:rPr>
          <w:rFonts w:hint="eastAsia" w:ascii="Times New Roman"/>
          <w:b/>
          <w:bCs/>
        </w:rPr>
        <w:t xml:space="preserve">ajor </w:t>
      </w:r>
      <w:r>
        <w:rPr>
          <w:rFonts w:hint="eastAsia" w:ascii="Times New Roman"/>
          <w:b/>
          <w:bCs/>
          <w:lang w:val="en-US" w:eastAsia="zh-CN"/>
        </w:rPr>
        <w:t>c</w:t>
      </w:r>
      <w:r>
        <w:rPr>
          <w:rFonts w:hint="eastAsia" w:ascii="Times New Roman"/>
          <w:b/>
          <w:bCs/>
        </w:rPr>
        <w:t xml:space="preserve">hronic </w:t>
      </w:r>
      <w:r>
        <w:rPr>
          <w:rFonts w:hint="eastAsia" w:ascii="Times New Roman"/>
          <w:b/>
          <w:bCs/>
          <w:lang w:val="en-US" w:eastAsia="zh-CN"/>
        </w:rPr>
        <w:t>d</w:t>
      </w:r>
      <w:r>
        <w:rPr>
          <w:rFonts w:hint="eastAsia" w:ascii="Times New Roman"/>
          <w:b/>
          <w:bCs/>
        </w:rPr>
        <w:t>iseases</w:t>
      </w:r>
    </w:p>
    <w:p w14:paraId="4B3EDB77">
      <w:pPr>
        <w:pStyle w:val="59"/>
        <w:spacing w:line="360" w:lineRule="auto"/>
        <w:ind w:firstLine="420"/>
        <w:rPr>
          <w:rFonts w:hint="eastAsia" w:ascii="Times New Roman" w:eastAsia="宋体"/>
          <w:lang w:val="en-US" w:eastAsia="zh-CN"/>
        </w:rPr>
      </w:pPr>
      <w:r>
        <w:rPr>
          <w:rFonts w:hint="eastAsia" w:ascii="Times New Roman"/>
        </w:rPr>
        <w:t>指病程长、发病率高、疾病负担重，对居民健康威胁显著的慢性疾病，本标准特指癌症、心脑血管疾病、慢性呼吸系统疾病、代谢性疾病（以糖尿病为代表）四大类疾病。</w:t>
      </w:r>
      <w:r>
        <w:rPr>
          <w:rFonts w:hint="eastAsia" w:ascii="Times New Roman"/>
          <w:lang w:val="en-US" w:eastAsia="zh-CN"/>
        </w:rPr>
        <w:t>[参照权威文件进行技术性阐述</w:t>
      </w:r>
      <w:r>
        <w:rPr>
          <w:rFonts w:hint="eastAsia" w:ascii="Times New Roman"/>
        </w:rPr>
        <w:t>，参考</w:t>
      </w:r>
      <w:r>
        <w:rPr>
          <w:rFonts w:hint="eastAsia" w:ascii="Times New Roman"/>
          <w:lang w:val="en-US" w:eastAsia="zh-CN"/>
        </w:rPr>
        <w:t>文件</w:t>
      </w:r>
      <w:r>
        <w:rPr>
          <w:rFonts w:hint="eastAsia" w:ascii="Times New Roman"/>
        </w:rPr>
        <w:t>来源</w:t>
      </w:r>
      <w:r>
        <w:rPr>
          <w:rFonts w:hint="eastAsia" w:ascii="Times New Roman"/>
          <w:lang w:eastAsia="zh-CN"/>
        </w:rPr>
        <w:t>：</w:t>
      </w:r>
      <w:r>
        <w:rPr>
          <w:rFonts w:hint="eastAsia" w:ascii="Times New Roman"/>
        </w:rPr>
        <w:t>《中国防治慢性病中长期规划（2017—2025年）》</w:t>
      </w:r>
      <w:r>
        <w:rPr>
          <w:rFonts w:hint="eastAsia" w:ascii="Times New Roman"/>
          <w:lang w:val="en-US" w:eastAsia="zh-CN"/>
        </w:rPr>
        <w:t>]</w:t>
      </w:r>
    </w:p>
    <w:p w14:paraId="344C81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ascii="Times New Roman" w:hAnsi="Times New Roman" w:eastAsia="宋体" w:cs="Times New Roman"/>
          <w:b/>
          <w:bCs/>
          <w:kern w:val="0"/>
          <w:sz w:val="21"/>
          <w:szCs w:val="20"/>
          <w:lang w:val="en-US" w:eastAsia="zh-CN" w:bidi="ar-SA"/>
        </w:rPr>
      </w:pPr>
      <w:r>
        <w:rPr>
          <w:rFonts w:hint="eastAsia" w:ascii="Times New Roman" w:hAnsi="Times New Roman" w:eastAsia="宋体" w:cs="Times New Roman"/>
          <w:b/>
          <w:bCs/>
          <w:kern w:val="0"/>
          <w:sz w:val="21"/>
          <w:szCs w:val="20"/>
          <w:lang w:val="en-US" w:eastAsia="zh-CN" w:bidi="ar-SA"/>
        </w:rPr>
        <w:t>3.2 冠心病</w:t>
      </w:r>
      <w:r>
        <w:rPr>
          <w:rFonts w:hint="eastAsia" w:ascii="Times New Roman" w:hAnsi="Times New Roman" w:cs="Times New Roman"/>
          <w:b/>
          <w:bCs/>
          <w:kern w:val="0"/>
          <w:sz w:val="21"/>
          <w:szCs w:val="20"/>
          <w:lang w:val="en-US" w:eastAsia="zh-CN" w:bidi="ar-SA"/>
        </w:rPr>
        <w:t>coronary heart disease</w:t>
      </w:r>
    </w:p>
    <w:p w14:paraId="0128BB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全称冠状动脉粥样硬化性心脏病，是一种</w:t>
      </w:r>
      <w:r>
        <w:rPr>
          <w:rFonts w:hint="default" w:ascii="Times New Roman" w:hAnsi="Times New Roman" w:eastAsia="宋体" w:cs="Times New Roman"/>
          <w:kern w:val="0"/>
          <w:sz w:val="21"/>
          <w:szCs w:val="20"/>
          <w:lang w:val="en-US" w:eastAsia="zh-CN" w:bidi="ar-SA"/>
        </w:rPr>
        <w:fldChar w:fldCharType="begin"/>
      </w:r>
      <w:r>
        <w:rPr>
          <w:rFonts w:hint="default" w:ascii="Times New Roman" w:hAnsi="Times New Roman" w:eastAsia="宋体" w:cs="Times New Roman"/>
          <w:kern w:val="0"/>
          <w:sz w:val="21"/>
          <w:szCs w:val="20"/>
          <w:lang w:val="en-US" w:eastAsia="zh-CN" w:bidi="ar-SA"/>
        </w:rPr>
        <w:instrText xml:space="preserve"> HYPERLINK "https://baike.baidu.com/item/%E7%BC%BA%E8%A1%80%E6%80%A7%E5%BF%83%E8%84%8F%E7%97%85/5121335?fromModule=lemma_inlink" \t "https://baike.baidu.com/item/%E5%86%A0%E7%8A%B6%E5%8A%A8%E8%84%89%E7%B2%A5%E6%A0%B7%E7%A1%AC%E5%8C%96%E6%80%A7%E5%BF%83%E8%84%8F%E7%97%85/_blank" </w:instrText>
      </w:r>
      <w:r>
        <w:rPr>
          <w:rFonts w:hint="default" w:ascii="Times New Roman" w:hAnsi="Times New Roman" w:eastAsia="宋体" w:cs="Times New Roman"/>
          <w:kern w:val="0"/>
          <w:sz w:val="21"/>
          <w:szCs w:val="20"/>
          <w:lang w:val="en-US" w:eastAsia="zh-CN" w:bidi="ar-SA"/>
        </w:rPr>
        <w:fldChar w:fldCharType="separate"/>
      </w:r>
      <w:r>
        <w:rPr>
          <w:rFonts w:hint="default" w:ascii="Times New Roman" w:hAnsi="Times New Roman" w:eastAsia="宋体" w:cs="Times New Roman"/>
          <w:kern w:val="0"/>
          <w:sz w:val="21"/>
          <w:szCs w:val="20"/>
          <w:lang w:val="en-US" w:eastAsia="zh-CN" w:bidi="ar-SA"/>
        </w:rPr>
        <w:t>缺血性心脏病</w:t>
      </w:r>
      <w:r>
        <w:rPr>
          <w:rFonts w:hint="default" w:ascii="Times New Roman" w:hAnsi="Times New Roman" w:eastAsia="宋体" w:cs="Times New Roman"/>
          <w:kern w:val="0"/>
          <w:sz w:val="21"/>
          <w:szCs w:val="20"/>
          <w:lang w:val="en-US" w:eastAsia="zh-CN" w:bidi="ar-SA"/>
        </w:rPr>
        <w:fldChar w:fldCharType="end"/>
      </w:r>
      <w:r>
        <w:rPr>
          <w:rFonts w:hint="default" w:ascii="Times New Roman" w:hAnsi="Times New Roman" w:eastAsia="宋体" w:cs="Times New Roman"/>
          <w:kern w:val="0"/>
          <w:sz w:val="21"/>
          <w:szCs w:val="20"/>
          <w:lang w:val="en-US" w:eastAsia="zh-CN" w:bidi="ar-SA"/>
        </w:rPr>
        <w:t>。冠状动脉（冠脉）是负责向心脏供血的动脉</w:t>
      </w:r>
      <w:r>
        <w:rPr>
          <w:rFonts w:hint="eastAsia" w:ascii="Times New Roman" w:hAnsi="Times New Roman" w:cs="Times New Roman"/>
          <w:kern w:val="0"/>
          <w:sz w:val="21"/>
          <w:szCs w:val="20"/>
          <w:lang w:val="en-US" w:eastAsia="zh-CN" w:bidi="ar-SA"/>
        </w:rPr>
        <w:t>，</w:t>
      </w:r>
      <w:r>
        <w:rPr>
          <w:rFonts w:hint="default" w:ascii="Times New Roman" w:hAnsi="Times New Roman" w:eastAsia="宋体" w:cs="Times New Roman"/>
          <w:kern w:val="0"/>
          <w:sz w:val="21"/>
          <w:szCs w:val="20"/>
          <w:lang w:val="en-US" w:eastAsia="zh-CN" w:bidi="ar-SA"/>
        </w:rPr>
        <w:t>当冠状动脉发生因胆固醇及其他物质堆积形成的斑块所引起的动脉壁狭窄或闭塞，可导致</w:t>
      </w:r>
      <w:r>
        <w:rPr>
          <w:rFonts w:hint="default" w:ascii="Times New Roman" w:hAnsi="Times New Roman" w:eastAsia="宋体" w:cs="Times New Roman"/>
          <w:kern w:val="0"/>
          <w:sz w:val="21"/>
          <w:szCs w:val="20"/>
          <w:lang w:val="en-US" w:eastAsia="zh-CN" w:bidi="ar-SA"/>
        </w:rPr>
        <w:fldChar w:fldCharType="begin"/>
      </w:r>
      <w:r>
        <w:rPr>
          <w:rFonts w:hint="default" w:ascii="Times New Roman" w:hAnsi="Times New Roman" w:eastAsia="宋体" w:cs="Times New Roman"/>
          <w:kern w:val="0"/>
          <w:sz w:val="21"/>
          <w:szCs w:val="20"/>
          <w:lang w:val="en-US" w:eastAsia="zh-CN" w:bidi="ar-SA"/>
        </w:rPr>
        <w:instrText xml:space="preserve"> HYPERLINK "https://baike.baidu.com/item/%E5%BF%83%E8%82%8C%E7%BC%BA%E8%A1%80/8901426?fromModule=lemma_inlink" \t "https://baike.baidu.com/item/%E5%86%A0%E7%8A%B6%E5%8A%A8%E8%84%89%E7%B2%A5%E6%A0%B7%E7%A1%AC%E5%8C%96%E6%80%A7%E5%BF%83%E8%84%8F%E7%97%85/_blank" </w:instrText>
      </w:r>
      <w:r>
        <w:rPr>
          <w:rFonts w:hint="default" w:ascii="Times New Roman" w:hAnsi="Times New Roman" w:eastAsia="宋体" w:cs="Times New Roman"/>
          <w:kern w:val="0"/>
          <w:sz w:val="21"/>
          <w:szCs w:val="20"/>
          <w:lang w:val="en-US" w:eastAsia="zh-CN" w:bidi="ar-SA"/>
        </w:rPr>
        <w:fldChar w:fldCharType="separate"/>
      </w:r>
      <w:r>
        <w:rPr>
          <w:rFonts w:hint="default" w:ascii="Times New Roman" w:hAnsi="Times New Roman" w:eastAsia="宋体" w:cs="Times New Roman"/>
          <w:kern w:val="0"/>
          <w:sz w:val="21"/>
          <w:szCs w:val="20"/>
          <w:lang w:val="en-US" w:eastAsia="zh-CN" w:bidi="ar-SA"/>
        </w:rPr>
        <w:t>心肌缺血</w:t>
      </w:r>
      <w:r>
        <w:rPr>
          <w:rFonts w:hint="default" w:ascii="Times New Roman" w:hAnsi="Times New Roman" w:eastAsia="宋体" w:cs="Times New Roman"/>
          <w:kern w:val="0"/>
          <w:sz w:val="21"/>
          <w:szCs w:val="20"/>
          <w:lang w:val="en-US" w:eastAsia="zh-CN" w:bidi="ar-SA"/>
        </w:rPr>
        <w:fldChar w:fldCharType="end"/>
      </w:r>
      <w:r>
        <w:rPr>
          <w:rFonts w:hint="default" w:ascii="Times New Roman" w:hAnsi="Times New Roman" w:eastAsia="宋体" w:cs="Times New Roman"/>
          <w:kern w:val="0"/>
          <w:sz w:val="21"/>
          <w:szCs w:val="20"/>
          <w:lang w:val="en-US" w:eastAsia="zh-CN" w:bidi="ar-SA"/>
        </w:rPr>
        <w:t>、缺氧或坏死，触发</w:t>
      </w:r>
      <w:r>
        <w:rPr>
          <w:rFonts w:hint="default" w:ascii="Times New Roman" w:hAnsi="Times New Roman" w:eastAsia="宋体" w:cs="Times New Roman"/>
          <w:kern w:val="0"/>
          <w:sz w:val="21"/>
          <w:szCs w:val="20"/>
          <w:lang w:val="en-US" w:eastAsia="zh-CN" w:bidi="ar-SA"/>
        </w:rPr>
        <w:fldChar w:fldCharType="begin"/>
      </w:r>
      <w:r>
        <w:rPr>
          <w:rFonts w:hint="default" w:ascii="Times New Roman" w:hAnsi="Times New Roman" w:eastAsia="宋体" w:cs="Times New Roman"/>
          <w:kern w:val="0"/>
          <w:sz w:val="21"/>
          <w:szCs w:val="20"/>
          <w:lang w:val="en-US" w:eastAsia="zh-CN" w:bidi="ar-SA"/>
        </w:rPr>
        <w:instrText xml:space="preserve"> HYPERLINK "https://baike.baidu.com/item/%E8%83%B8%E7%97%9B/10942165?fromModule=lemma_inlink" \t "https://baike.baidu.com/item/%E5%86%A0%E7%8A%B6%E5%8A%A8%E8%84%89%E7%B2%A5%E6%A0%B7%E7%A1%AC%E5%8C%96%E6%80%A7%E5%BF%83%E8%84%8F%E7%97%85/_blank" </w:instrText>
      </w:r>
      <w:r>
        <w:rPr>
          <w:rFonts w:hint="default" w:ascii="Times New Roman" w:hAnsi="Times New Roman" w:eastAsia="宋体" w:cs="Times New Roman"/>
          <w:kern w:val="0"/>
          <w:sz w:val="21"/>
          <w:szCs w:val="20"/>
          <w:lang w:val="en-US" w:eastAsia="zh-CN" w:bidi="ar-SA"/>
        </w:rPr>
        <w:fldChar w:fldCharType="separate"/>
      </w:r>
      <w:r>
        <w:rPr>
          <w:rFonts w:hint="default" w:ascii="Times New Roman" w:hAnsi="Times New Roman" w:eastAsia="宋体" w:cs="Times New Roman"/>
          <w:kern w:val="0"/>
          <w:sz w:val="21"/>
          <w:szCs w:val="20"/>
          <w:lang w:val="en-US" w:eastAsia="zh-CN" w:bidi="ar-SA"/>
        </w:rPr>
        <w:t>胸痛</w:t>
      </w:r>
      <w:r>
        <w:rPr>
          <w:rFonts w:hint="default" w:ascii="Times New Roman" w:hAnsi="Times New Roman" w:eastAsia="宋体" w:cs="Times New Roman"/>
          <w:kern w:val="0"/>
          <w:sz w:val="21"/>
          <w:szCs w:val="20"/>
          <w:lang w:val="en-US" w:eastAsia="zh-CN" w:bidi="ar-SA"/>
        </w:rPr>
        <w:fldChar w:fldCharType="end"/>
      </w:r>
      <w:r>
        <w:rPr>
          <w:rFonts w:hint="default" w:ascii="Times New Roman" w:hAnsi="Times New Roman" w:eastAsia="宋体" w:cs="Times New Roman"/>
          <w:kern w:val="0"/>
          <w:sz w:val="21"/>
          <w:szCs w:val="20"/>
          <w:lang w:val="en-US" w:eastAsia="zh-CN" w:bidi="ar-SA"/>
        </w:rPr>
        <w:t>、</w:t>
      </w:r>
      <w:r>
        <w:rPr>
          <w:rFonts w:hint="default" w:ascii="Times New Roman" w:hAnsi="Times New Roman" w:eastAsia="宋体" w:cs="Times New Roman"/>
          <w:kern w:val="0"/>
          <w:sz w:val="21"/>
          <w:szCs w:val="20"/>
          <w:lang w:val="en-US" w:eastAsia="zh-CN" w:bidi="ar-SA"/>
        </w:rPr>
        <w:fldChar w:fldCharType="begin"/>
      </w:r>
      <w:r>
        <w:rPr>
          <w:rFonts w:hint="default" w:ascii="Times New Roman" w:hAnsi="Times New Roman" w:eastAsia="宋体" w:cs="Times New Roman"/>
          <w:kern w:val="0"/>
          <w:sz w:val="21"/>
          <w:szCs w:val="20"/>
          <w:lang w:val="en-US" w:eastAsia="zh-CN" w:bidi="ar-SA"/>
        </w:rPr>
        <w:instrText xml:space="preserve"> HYPERLINK "https://baike.baidu.com/item/%E8%83%B8%E9%97%B7/4926584?fromModule=lemma_inlink" \t "https://baike.baidu.com/item/%E5%86%A0%E7%8A%B6%E5%8A%A8%E8%84%89%E7%B2%A5%E6%A0%B7%E7%A1%AC%E5%8C%96%E6%80%A7%E5%BF%83%E8%84%8F%E7%97%85/_blank" </w:instrText>
      </w:r>
      <w:r>
        <w:rPr>
          <w:rFonts w:hint="default" w:ascii="Times New Roman" w:hAnsi="Times New Roman" w:eastAsia="宋体" w:cs="Times New Roman"/>
          <w:kern w:val="0"/>
          <w:sz w:val="21"/>
          <w:szCs w:val="20"/>
          <w:lang w:val="en-US" w:eastAsia="zh-CN" w:bidi="ar-SA"/>
        </w:rPr>
        <w:fldChar w:fldCharType="separate"/>
      </w:r>
      <w:r>
        <w:rPr>
          <w:rFonts w:hint="default" w:ascii="Times New Roman" w:hAnsi="Times New Roman" w:eastAsia="宋体" w:cs="Times New Roman"/>
          <w:kern w:val="0"/>
          <w:sz w:val="21"/>
          <w:szCs w:val="20"/>
          <w:lang w:val="en-US" w:eastAsia="zh-CN" w:bidi="ar-SA"/>
        </w:rPr>
        <w:t>胸闷</w:t>
      </w:r>
      <w:r>
        <w:rPr>
          <w:rFonts w:hint="default" w:ascii="Times New Roman" w:hAnsi="Times New Roman" w:eastAsia="宋体" w:cs="Times New Roman"/>
          <w:kern w:val="0"/>
          <w:sz w:val="21"/>
          <w:szCs w:val="20"/>
          <w:lang w:val="en-US" w:eastAsia="zh-CN" w:bidi="ar-SA"/>
        </w:rPr>
        <w:fldChar w:fldCharType="end"/>
      </w:r>
      <w:r>
        <w:rPr>
          <w:rFonts w:hint="default" w:ascii="Times New Roman" w:hAnsi="Times New Roman" w:eastAsia="宋体" w:cs="Times New Roman"/>
          <w:kern w:val="0"/>
          <w:sz w:val="21"/>
          <w:szCs w:val="20"/>
          <w:lang w:val="en-US" w:eastAsia="zh-CN" w:bidi="ar-SA"/>
        </w:rPr>
        <w:t>等不适的情况。</w:t>
      </w:r>
      <w:r>
        <w:rPr>
          <w:rFonts w:hint="eastAsia" w:ascii="Times New Roman" w:hAnsi="Times New Roman" w:eastAsia="宋体" w:cs="Times New Roman"/>
          <w:kern w:val="0"/>
          <w:sz w:val="21"/>
          <w:szCs w:val="20"/>
          <w:lang w:val="en-US" w:eastAsia="zh-CN" w:bidi="ar-SA"/>
        </w:rPr>
        <w:t>[来源</w:t>
      </w:r>
      <w:r>
        <w:rPr>
          <w:rFonts w:hint="eastAsia" w:ascii="Times New Roman" w:hAns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老年冠心病慢病管理指南</w:t>
      </w:r>
      <w:r>
        <w:rPr>
          <w:rFonts w:hint="eastAsia" w:ascii="Times New Roman" w:hAns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w:t>
      </w:r>
    </w:p>
    <w:p w14:paraId="6D004AB7">
      <w:pPr>
        <w:adjustRightInd/>
        <w:spacing w:line="360" w:lineRule="auto"/>
        <w:ind w:firstLine="422" w:firstLineChars="200"/>
        <w:rPr>
          <w:rFonts w:hint="eastAsia" w:ascii="Times New Roman" w:hAnsi="Times New Roman" w:cs="Times New Roman"/>
          <w:b/>
          <w:bCs/>
          <w:kern w:val="0"/>
          <w:sz w:val="21"/>
          <w:szCs w:val="20"/>
          <w:lang w:val="en-US" w:eastAsia="zh-CN" w:bidi="ar-SA"/>
        </w:rPr>
      </w:pPr>
      <w:r>
        <w:rPr>
          <w:rFonts w:hint="eastAsia" w:ascii="Times New Roman" w:hAnsi="Times New Roman" w:eastAsia="宋体" w:cs="Times New Roman"/>
          <w:b/>
          <w:bCs/>
          <w:kern w:val="0"/>
          <w:sz w:val="21"/>
          <w:szCs w:val="20"/>
          <w:lang w:val="en-US" w:eastAsia="zh-CN" w:bidi="ar-SA"/>
        </w:rPr>
        <w:t>3.3 脑卒中</w:t>
      </w:r>
      <w:r>
        <w:rPr>
          <w:rFonts w:hint="eastAsia" w:ascii="Times New Roman" w:hAnsi="Times New Roman" w:cs="Times New Roman"/>
          <w:b/>
          <w:bCs/>
          <w:kern w:val="0"/>
          <w:sz w:val="21"/>
          <w:szCs w:val="20"/>
          <w:lang w:val="en-US" w:eastAsia="zh-CN" w:bidi="ar-SA"/>
        </w:rPr>
        <w:t xml:space="preserve"> </w:t>
      </w:r>
      <w:r>
        <w:rPr>
          <w:rFonts w:hint="eastAsia" w:ascii="Times New Roman" w:hAnsi="Times New Roman" w:eastAsia="宋体" w:cs="Times New Roman"/>
          <w:b/>
          <w:bCs/>
          <w:kern w:val="0"/>
          <w:sz w:val="21"/>
          <w:szCs w:val="20"/>
          <w:lang w:val="en-US" w:eastAsia="zh-CN" w:bidi="ar-SA"/>
        </w:rPr>
        <w:t>stroke</w:t>
      </w:r>
    </w:p>
    <w:p w14:paraId="003567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由脑血管阻塞或破裂引起的脑血流循环障碍和脑组织功能或结构损害的疾病。</w:t>
      </w:r>
    </w:p>
    <w:p w14:paraId="6AB075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注:分为两大类</w:t>
      </w:r>
      <w:r>
        <w:rPr>
          <w:rFonts w:hint="eastAsia" w:ascii="Times New Roman" w:hAns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即缺血性脑卒中和出血性脑卒中</w:t>
      </w:r>
      <w:r>
        <w:rPr>
          <w:rFonts w:hint="eastAsia" w:ascii="Times New Roman" w:hAns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包括脑出血、脑血栓形成、脑栓塞、脑血管痉挛等。[来源</w:t>
      </w:r>
      <w:r>
        <w:rPr>
          <w:rFonts w:hint="eastAsia" w:ascii="Times New Roman" w:hAns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GB/T 42772-2023]</w:t>
      </w:r>
    </w:p>
    <w:p w14:paraId="13E9C0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default" w:ascii="Times New Roman" w:hAnsi="Times New Roman" w:eastAsia="宋体" w:cs="Times New Roman"/>
          <w:b/>
          <w:bCs/>
          <w:kern w:val="0"/>
          <w:sz w:val="21"/>
          <w:szCs w:val="20"/>
          <w:lang w:val="en-US" w:eastAsia="zh-CN" w:bidi="ar-SA"/>
        </w:rPr>
      </w:pPr>
      <w:r>
        <w:rPr>
          <w:rFonts w:hint="eastAsia" w:ascii="Times New Roman" w:hAnsi="Times New Roman" w:eastAsia="宋体" w:cs="Times New Roman"/>
          <w:b/>
          <w:bCs/>
          <w:kern w:val="0"/>
          <w:sz w:val="21"/>
          <w:szCs w:val="20"/>
          <w:lang w:val="en-US" w:eastAsia="zh-CN" w:bidi="ar-SA"/>
        </w:rPr>
        <w:t xml:space="preserve">3.4 </w:t>
      </w:r>
      <w:r>
        <w:rPr>
          <w:rFonts w:hint="eastAsia" w:ascii="Times New Roman" w:hAnsi="Times New Roman" w:eastAsia="宋体" w:cs="Times New Roman"/>
          <w:b/>
          <w:bCs/>
          <w:kern w:val="0"/>
          <w:sz w:val="21"/>
          <w:szCs w:val="20"/>
          <w:lang w:val="zh-CN" w:eastAsia="zh-CN" w:bidi="ar-SA"/>
        </w:rPr>
        <w:t>高血压</w:t>
      </w:r>
      <w:r>
        <w:rPr>
          <w:rFonts w:hint="eastAsia" w:ascii="Times New Roman" w:hAnsi="Times New Roman" w:cs="Times New Roman"/>
          <w:b/>
          <w:bCs/>
          <w:kern w:val="0"/>
          <w:sz w:val="21"/>
          <w:szCs w:val="20"/>
          <w:lang w:val="en-US" w:eastAsia="zh-CN" w:bidi="ar-SA"/>
        </w:rPr>
        <w:t xml:space="preserve"> </w:t>
      </w:r>
      <w:r>
        <w:rPr>
          <w:rFonts w:hint="eastAsia" w:ascii="Times New Roman" w:hAnsi="Times New Roman" w:eastAsia="宋体" w:cs="Times New Roman"/>
          <w:b/>
          <w:bCs/>
          <w:kern w:val="0"/>
          <w:sz w:val="21"/>
          <w:szCs w:val="20"/>
          <w:lang w:val="en-US" w:eastAsia="zh-CN" w:bidi="ar-SA"/>
        </w:rPr>
        <w:t>hypertension</w:t>
      </w:r>
      <w:r>
        <w:rPr>
          <w:rFonts w:hint="eastAsia" w:ascii="Times New Roman" w:hAnsi="Times New Roman" w:cs="Times New Roman"/>
          <w:b/>
          <w:bCs/>
          <w:kern w:val="0"/>
          <w:sz w:val="21"/>
          <w:szCs w:val="20"/>
          <w:lang w:val="en-US" w:eastAsia="zh-CN" w:bidi="ar-SA"/>
        </w:rPr>
        <w:t xml:space="preserve"> </w:t>
      </w:r>
    </w:p>
    <w:p w14:paraId="4EB70A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cs="Times New Roman"/>
          <w:kern w:val="0"/>
          <w:sz w:val="21"/>
          <w:szCs w:val="20"/>
          <w:lang w:val="en-US" w:eastAsia="zh-CN" w:bidi="ar-SA"/>
        </w:rPr>
      </w:pPr>
      <w:r>
        <w:rPr>
          <w:rFonts w:hint="default" w:ascii="Times New Roman" w:hAnsi="Times New Roman" w:cs="Times New Roman"/>
          <w:kern w:val="0"/>
          <w:sz w:val="21"/>
          <w:szCs w:val="20"/>
          <w:lang w:val="en-US" w:eastAsia="zh-CN" w:bidi="ar-SA"/>
        </w:rPr>
        <w:t>在未使用降压药物的情况下</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非同日3次测量诊室血压</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收缩压</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140mmHg和(或)舒张压</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90mmHg。收缩压</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140 mmHg和舒张压</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90mmHg为单纯收缩期高血压。患者既往有高血压史</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目前正在使用降压药物</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血压虽然低于140/90 mmHg</w:t>
      </w:r>
      <w:r>
        <w:rPr>
          <w:rFonts w:hint="eastAsia" w:ascii="Times New Roman" w:hAnsi="Times New Roman" w:cs="Times New Roman"/>
          <w:kern w:val="0"/>
          <w:sz w:val="21"/>
          <w:szCs w:val="20"/>
          <w:lang w:val="en-US" w:eastAsia="zh-CN" w:bidi="ar-SA"/>
        </w:rPr>
        <w:t>，</w:t>
      </w:r>
      <w:r>
        <w:rPr>
          <w:rFonts w:hint="default" w:ascii="Times New Roman" w:hAnsi="Times New Roman" w:cs="Times New Roman"/>
          <w:kern w:val="0"/>
          <w:sz w:val="21"/>
          <w:szCs w:val="20"/>
          <w:lang w:val="en-US" w:eastAsia="zh-CN" w:bidi="ar-SA"/>
        </w:rPr>
        <w:t>仍应诊断为高血压。</w:t>
      </w:r>
      <w:r>
        <w:rPr>
          <w:rFonts w:hint="eastAsia" w:ascii="Times New Roman" w:hAnsi="Times New Roman" w:cs="Times New Roman"/>
          <w:kern w:val="0"/>
          <w:sz w:val="21"/>
          <w:szCs w:val="20"/>
          <w:lang w:val="en-US" w:eastAsia="zh-CN" w:bidi="ar-SA"/>
        </w:rPr>
        <w:t>[来源：DB36/T 2101-2024]</w:t>
      </w:r>
    </w:p>
    <w:p w14:paraId="4E05E672">
      <w:pPr>
        <w:pStyle w:val="59"/>
        <w:spacing w:line="360" w:lineRule="auto"/>
        <w:ind w:firstLine="422"/>
        <w:rPr>
          <w:rFonts w:hint="default" w:ascii="Times New Roman"/>
          <w:b/>
          <w:bCs/>
          <w:lang w:val="en-US" w:eastAsia="zh-CN"/>
        </w:rPr>
      </w:pPr>
      <w:r>
        <w:rPr>
          <w:rFonts w:hint="eastAsia" w:ascii="Times New Roman"/>
          <w:b/>
          <w:bCs/>
          <w:lang w:val="en-US" w:eastAsia="zh-CN"/>
        </w:rPr>
        <w:t>3.5 糖尿病 diabetes mellitus</w:t>
      </w:r>
    </w:p>
    <w:p w14:paraId="2F161D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b/>
          <w:bCs/>
          <w:kern w:val="0"/>
          <w:sz w:val="21"/>
          <w:szCs w:val="20"/>
          <w:lang w:val="zh-CN" w:eastAsia="zh-CN" w:bidi="ar-SA"/>
        </w:rPr>
      </w:pPr>
      <w:r>
        <w:rPr>
          <w:rFonts w:hint="eastAsia" w:ascii="Times New Roman" w:hAnsi="Times New Roman" w:eastAsia="宋体" w:cs="Times New Roman"/>
          <w:kern w:val="0"/>
          <w:sz w:val="21"/>
          <w:szCs w:val="20"/>
          <w:lang w:val="zh-CN" w:eastAsia="zh-CN" w:bidi="ar-SA"/>
        </w:rPr>
        <w:t>由遗传因素、内分泌功能紊乱等各种致病因子作用</w:t>
      </w:r>
      <w:r>
        <w:rPr>
          <w:rFonts w:hint="eastAsia" w:ascii="Times New Roman" w:hAnsi="Times New Roman" w:cs="Times New Roman"/>
          <w:kern w:val="0"/>
          <w:sz w:val="21"/>
          <w:szCs w:val="20"/>
          <w:lang w:val="zh-CN" w:eastAsia="zh-CN" w:bidi="ar-SA"/>
        </w:rPr>
        <w:t>，</w:t>
      </w:r>
      <w:r>
        <w:rPr>
          <w:rFonts w:hint="eastAsia" w:ascii="Times New Roman" w:hAnsi="Times New Roman" w:eastAsia="宋体" w:cs="Times New Roman"/>
          <w:kern w:val="0"/>
          <w:sz w:val="21"/>
          <w:szCs w:val="20"/>
          <w:lang w:val="zh-CN" w:eastAsia="zh-CN" w:bidi="ar-SA"/>
        </w:rPr>
        <w:t>导致胰岛功能减退、胰岛素抵抗等而引发的糖、蛋白质、脂肪、水和电解质等一系列代谢紊乱综合征。临床上以高血糖为主要特点。分为1型糖尿病、2型糖尿病、妊娠糖尿病以及其他特殊类型糖尿病四种类型。</w:t>
      </w:r>
      <w:r>
        <w:rPr>
          <w:rFonts w:hint="eastAsia" w:ascii="Times New Roman" w:hAnsi="Times New Roman" w:cs="Times New Roman"/>
          <w:kern w:val="0"/>
          <w:sz w:val="21"/>
          <w:szCs w:val="20"/>
          <w:lang w:val="en-US" w:eastAsia="zh-CN" w:bidi="ar-SA"/>
        </w:rPr>
        <w:t>[来源：WS/T 429-2013]</w:t>
      </w:r>
    </w:p>
    <w:p w14:paraId="206D82DF">
      <w:pPr>
        <w:pStyle w:val="59"/>
        <w:spacing w:line="360" w:lineRule="auto"/>
        <w:ind w:firstLine="422"/>
        <w:rPr>
          <w:rFonts w:hint="eastAsia" w:ascii="Times New Roman"/>
          <w:b/>
          <w:bCs/>
          <w:lang w:val="en-US" w:eastAsia="zh-CN"/>
        </w:rPr>
      </w:pPr>
      <w:r>
        <w:rPr>
          <w:rFonts w:hint="eastAsia" w:ascii="Times New Roman"/>
          <w:b/>
          <w:bCs/>
          <w:lang w:val="en-US" w:eastAsia="zh-CN"/>
        </w:rPr>
        <w:t xml:space="preserve">3.6 肺癌 </w:t>
      </w:r>
      <w:r>
        <w:rPr>
          <w:rFonts w:hint="default" w:ascii="Times New Roman" w:hAnsi="Times New Roman" w:eastAsia="宋体" w:cs="Times New Roman"/>
          <w:b/>
          <w:bCs/>
          <w:kern w:val="0"/>
          <w:sz w:val="21"/>
          <w:szCs w:val="20"/>
          <w:lang w:val="zh-CN" w:eastAsia="zh-CN" w:bidi="ar-SA"/>
        </w:rPr>
        <w:t>lung cancer</w:t>
      </w:r>
    </w:p>
    <w:p w14:paraId="0EE4DFD5">
      <w:pPr>
        <w:pStyle w:val="59"/>
        <w:spacing w:line="360" w:lineRule="auto"/>
        <w:ind w:firstLine="422"/>
        <w:rPr>
          <w:rFonts w:hint="default"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zh-CN" w:eastAsia="zh-CN" w:bidi="ar-SA"/>
        </w:rPr>
        <w:t>起源于</w:t>
      </w:r>
      <w:r>
        <w:rPr>
          <w:rFonts w:hint="eastAsia" w:ascii="Times New Roman" w:cs="Times New Roman"/>
          <w:kern w:val="0"/>
          <w:sz w:val="21"/>
          <w:szCs w:val="20"/>
          <w:lang w:val="en-US" w:eastAsia="zh-CN" w:bidi="ar-SA"/>
        </w:rPr>
        <w:t>肺部支气管黏膜或腺体的</w:t>
      </w:r>
      <w:r>
        <w:rPr>
          <w:rFonts w:hint="eastAsia" w:ascii="Times New Roman" w:hAnsi="Times New Roman" w:eastAsia="宋体" w:cs="Times New Roman"/>
          <w:kern w:val="0"/>
          <w:sz w:val="21"/>
          <w:szCs w:val="20"/>
          <w:lang w:val="zh-CN" w:eastAsia="zh-CN" w:bidi="ar-SA"/>
        </w:rPr>
        <w:t>恶性肿瘤。</w:t>
      </w:r>
      <w:r>
        <w:rPr>
          <w:rFonts w:hint="eastAsia" w:ascii="Times New Roman" w:cs="Times New Roman"/>
          <w:kern w:val="0"/>
          <w:sz w:val="21"/>
          <w:szCs w:val="20"/>
          <w:lang w:val="en-US" w:eastAsia="zh-CN" w:bidi="ar-SA"/>
        </w:rPr>
        <w:t>[来源：</w:t>
      </w:r>
      <w:r>
        <w:rPr>
          <w:rFonts w:hint="eastAsia" w:ascii="Times New Roman" w:hAnsi="Times New Roman" w:eastAsia="宋体" w:cs="Times New Roman"/>
          <w:kern w:val="0"/>
          <w:sz w:val="21"/>
          <w:szCs w:val="20"/>
          <w:lang w:val="zh-CN" w:eastAsia="zh-CN" w:bidi="ar-SA"/>
        </w:rPr>
        <w:t>DB11/T 2275.3-2024</w:t>
      </w:r>
      <w:r>
        <w:rPr>
          <w:rFonts w:hint="eastAsia" w:ascii="Times New Roman" w:cs="Times New Roman"/>
          <w:kern w:val="0"/>
          <w:sz w:val="21"/>
          <w:szCs w:val="20"/>
          <w:lang w:val="en-US" w:eastAsia="zh-CN" w:bidi="ar-SA"/>
        </w:rPr>
        <w:t>]</w:t>
      </w:r>
    </w:p>
    <w:p w14:paraId="4CA8B16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Times New Roman" w:hAnsi="Times New Roman" w:eastAsia="宋体" w:cs="Times New Roman"/>
          <w:b/>
          <w:bCs/>
          <w:kern w:val="0"/>
          <w:sz w:val="21"/>
          <w:szCs w:val="20"/>
          <w:lang w:val="en-US" w:eastAsia="zh-CN" w:bidi="ar-SA"/>
        </w:rPr>
      </w:pPr>
      <w:r>
        <w:rPr>
          <w:rFonts w:hint="eastAsia" w:ascii="Times New Roman" w:hAnsi="Times New Roman" w:eastAsia="宋体" w:cs="Times New Roman"/>
          <w:b/>
          <w:bCs/>
          <w:kern w:val="0"/>
          <w:sz w:val="21"/>
          <w:szCs w:val="20"/>
          <w:lang w:val="en-US" w:eastAsia="zh-CN" w:bidi="ar-SA"/>
        </w:rPr>
        <w:t>3.</w:t>
      </w:r>
      <w:r>
        <w:rPr>
          <w:rFonts w:hint="eastAsia" w:ascii="Times New Roman" w:hAnsi="Times New Roman" w:cs="Times New Roman"/>
          <w:b/>
          <w:bCs/>
          <w:kern w:val="0"/>
          <w:sz w:val="21"/>
          <w:szCs w:val="20"/>
          <w:lang w:val="en-US" w:eastAsia="zh-CN" w:bidi="ar-SA"/>
        </w:rPr>
        <w:t>7</w:t>
      </w:r>
      <w:r>
        <w:rPr>
          <w:rFonts w:hint="eastAsia" w:ascii="Times New Roman" w:hAnsi="Times New Roman" w:eastAsia="宋体" w:cs="Times New Roman"/>
          <w:b/>
          <w:bCs/>
          <w:kern w:val="0"/>
          <w:sz w:val="21"/>
          <w:szCs w:val="20"/>
          <w:lang w:val="en-US" w:eastAsia="zh-CN" w:bidi="ar-SA"/>
        </w:rPr>
        <w:t xml:space="preserve"> 慢性阻塞性肺疾病</w:t>
      </w:r>
      <w:r>
        <w:rPr>
          <w:rFonts w:hint="eastAsia" w:ascii="Times New Roman" w:hAnsi="Times New Roman" w:cs="Times New Roman"/>
          <w:b/>
          <w:bCs/>
          <w:kern w:val="0"/>
          <w:sz w:val="21"/>
          <w:szCs w:val="20"/>
          <w:lang w:val="en-US" w:eastAsia="zh-CN" w:bidi="ar-SA"/>
        </w:rPr>
        <w:t xml:space="preserve"> c</w:t>
      </w:r>
      <w:r>
        <w:rPr>
          <w:rFonts w:hint="default" w:ascii="Times New Roman" w:hAnsi="Times New Roman" w:eastAsia="宋体" w:cs="Times New Roman"/>
          <w:b/>
          <w:bCs/>
          <w:kern w:val="0"/>
          <w:sz w:val="21"/>
          <w:szCs w:val="20"/>
          <w:lang w:val="en-US" w:eastAsia="zh-CN" w:bidi="ar-SA"/>
        </w:rPr>
        <w:t xml:space="preserve">hronic </w:t>
      </w:r>
      <w:r>
        <w:rPr>
          <w:rFonts w:hint="eastAsia" w:ascii="Times New Roman" w:hAnsi="Times New Roman" w:cs="Times New Roman"/>
          <w:b/>
          <w:bCs/>
          <w:kern w:val="0"/>
          <w:sz w:val="21"/>
          <w:szCs w:val="20"/>
          <w:lang w:val="en-US" w:eastAsia="zh-CN" w:bidi="ar-SA"/>
        </w:rPr>
        <w:t>o</w:t>
      </w:r>
      <w:r>
        <w:rPr>
          <w:rFonts w:hint="default" w:ascii="Times New Roman" w:hAnsi="Times New Roman" w:eastAsia="宋体" w:cs="Times New Roman"/>
          <w:b/>
          <w:bCs/>
          <w:kern w:val="0"/>
          <w:sz w:val="21"/>
          <w:szCs w:val="20"/>
          <w:lang w:val="en-US" w:eastAsia="zh-CN" w:bidi="ar-SA"/>
        </w:rPr>
        <w:t xml:space="preserve">bstructive </w:t>
      </w:r>
      <w:r>
        <w:rPr>
          <w:rFonts w:hint="eastAsia" w:ascii="Times New Roman" w:hAnsi="Times New Roman" w:cs="Times New Roman"/>
          <w:b/>
          <w:bCs/>
          <w:kern w:val="0"/>
          <w:sz w:val="21"/>
          <w:szCs w:val="20"/>
          <w:lang w:val="en-US" w:eastAsia="zh-CN" w:bidi="ar-SA"/>
        </w:rPr>
        <w:t>p</w:t>
      </w:r>
      <w:r>
        <w:rPr>
          <w:rFonts w:hint="default" w:ascii="Times New Roman" w:hAnsi="Times New Roman" w:eastAsia="宋体" w:cs="Times New Roman"/>
          <w:b/>
          <w:bCs/>
          <w:kern w:val="0"/>
          <w:sz w:val="21"/>
          <w:szCs w:val="20"/>
          <w:lang w:val="en-US" w:eastAsia="zh-CN" w:bidi="ar-SA"/>
        </w:rPr>
        <w:t xml:space="preserve">ulmonary </w:t>
      </w:r>
      <w:r>
        <w:rPr>
          <w:rFonts w:hint="eastAsia" w:ascii="Times New Roman" w:hAnsi="Times New Roman" w:cs="Times New Roman"/>
          <w:b/>
          <w:bCs/>
          <w:kern w:val="0"/>
          <w:sz w:val="21"/>
          <w:szCs w:val="20"/>
          <w:lang w:val="en-US" w:eastAsia="zh-CN" w:bidi="ar-SA"/>
        </w:rPr>
        <w:t>d</w:t>
      </w:r>
      <w:r>
        <w:rPr>
          <w:rFonts w:hint="default" w:ascii="Times New Roman" w:hAnsi="Times New Roman" w:eastAsia="宋体" w:cs="Times New Roman"/>
          <w:b/>
          <w:bCs/>
          <w:kern w:val="0"/>
          <w:sz w:val="21"/>
          <w:szCs w:val="20"/>
          <w:lang w:val="en-US" w:eastAsia="zh-CN" w:bidi="ar-SA"/>
        </w:rPr>
        <w:t>isease</w:t>
      </w:r>
    </w:p>
    <w:p w14:paraId="69AACD31">
      <w:pPr>
        <w:pStyle w:val="59"/>
        <w:spacing w:line="360" w:lineRule="auto"/>
        <w:ind w:firstLine="422"/>
        <w:rPr>
          <w:rFonts w:hint="default" w:ascii="Times New Roman"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简称慢阻肺，是一种异质性的肺部疾病</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以因气道异常</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支气管炎、细支气管炎</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和/或肺泡异常</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肺气肿</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进而引起慢性呼吸症状</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呼吸困难、咳嗽、咳痰</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及持续的、进行性加重的气流受限为特征。不可逆气流受限是诊断慢阻肺病的关键</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在吸入支气管扩张剂后</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第一秒用力呼气容积</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FEV1</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与用力肺活量</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FVC</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的比值</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FEV1/FVC</w:t>
      </w:r>
      <w:r>
        <w:rPr>
          <w:rFonts w:hint="eastAsia" w:ascii="Times New Roman"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70% 表明存在持续气流受限。</w:t>
      </w:r>
      <w:r>
        <w:rPr>
          <w:rFonts w:hint="eastAsia" w:ascii="Times New Roman" w:cs="Times New Roman"/>
          <w:kern w:val="0"/>
          <w:sz w:val="21"/>
          <w:szCs w:val="20"/>
          <w:lang w:val="en-US" w:eastAsia="zh-CN" w:bidi="ar-SA"/>
        </w:rPr>
        <w:t>[来源：DB14/T 3564—2025]</w:t>
      </w:r>
    </w:p>
    <w:p w14:paraId="3A987F1C">
      <w:pPr>
        <w:pStyle w:val="59"/>
        <w:spacing w:line="360" w:lineRule="auto"/>
        <w:ind w:firstLine="422"/>
        <w:rPr>
          <w:rFonts w:ascii="Times New Roman"/>
          <w:b/>
          <w:bCs/>
        </w:rPr>
      </w:pPr>
      <w:r>
        <w:rPr>
          <w:rFonts w:hint="eastAsia" w:ascii="Times New Roman"/>
          <w:b/>
          <w:bCs/>
          <w:lang w:val="en-US" w:eastAsia="zh-CN"/>
        </w:rPr>
        <w:t>3.8 预</w:t>
      </w:r>
      <w:r>
        <w:rPr>
          <w:rFonts w:hint="eastAsia" w:ascii="Times New Roman"/>
          <w:b/>
          <w:bCs/>
        </w:rPr>
        <w:t>防</w:t>
      </w:r>
      <w:r>
        <w:rPr>
          <w:rFonts w:hint="eastAsia" w:ascii="Times New Roman"/>
          <w:b/>
          <w:bCs/>
          <w:lang w:val="en-US" w:eastAsia="zh-CN"/>
        </w:rPr>
        <w:t xml:space="preserve"> p</w:t>
      </w:r>
      <w:r>
        <w:rPr>
          <w:rFonts w:hint="eastAsia" w:ascii="Times New Roman"/>
          <w:b/>
          <w:bCs/>
        </w:rPr>
        <w:t>revention</w:t>
      </w:r>
    </w:p>
    <w:p w14:paraId="36AF65B1">
      <w:pPr>
        <w:pStyle w:val="59"/>
        <w:spacing w:line="360" w:lineRule="auto"/>
        <w:ind w:firstLine="420"/>
        <w:rPr>
          <w:rFonts w:hint="default" w:ascii="Times New Roman" w:eastAsia="宋体"/>
          <w:lang w:val="en-US" w:eastAsia="zh-CN"/>
        </w:rPr>
      </w:pPr>
      <w:r>
        <w:rPr>
          <w:rFonts w:hint="eastAsia" w:ascii="Times New Roman"/>
        </w:rPr>
        <w:t>主要分为三级预防：一级预防（病因预防），通过消除或减少</w:t>
      </w:r>
      <w:r>
        <w:rPr>
          <w:rFonts w:hint="eastAsia" w:ascii="Times New Roman"/>
          <w:lang w:val="en-US" w:eastAsia="zh-CN"/>
        </w:rPr>
        <w:t>疾病</w:t>
      </w:r>
      <w:r>
        <w:rPr>
          <w:rFonts w:hint="eastAsia" w:ascii="Times New Roman"/>
        </w:rPr>
        <w:t>病因或危险因素，预防</w:t>
      </w:r>
      <w:r>
        <w:rPr>
          <w:rFonts w:hint="eastAsia" w:ascii="Times New Roman"/>
          <w:lang w:val="en-US" w:eastAsia="zh-CN"/>
        </w:rPr>
        <w:t>疾病</w:t>
      </w:r>
      <w:r>
        <w:rPr>
          <w:rFonts w:hint="eastAsia" w:ascii="Times New Roman"/>
        </w:rPr>
        <w:t>的发生</w:t>
      </w:r>
      <w:r>
        <w:rPr>
          <w:rFonts w:hint="eastAsia" w:ascii="Times New Roman"/>
          <w:lang w:eastAsia="zh-CN"/>
        </w:rPr>
        <w:t>；二级预防（早诊早治），通过早期发现、早期诊断和早期治疗，提高患者的治愈率和生存率；三级预防（康复治疗），通过规范治疗和康复管理，改善患者的生活质量，延长生存时间。</w:t>
      </w:r>
      <w:r>
        <w:rPr>
          <w:rFonts w:hint="eastAsia" w:ascii="Times New Roman"/>
          <w:lang w:val="en-US" w:eastAsia="zh-CN"/>
        </w:rPr>
        <w:t>[来源：改自黄璜，孙培元，邹开勇，等.中国恶性肿瘤一级预防现状与展望[J].中华肿瘤杂志，2022,44(9):942-949.]</w:t>
      </w:r>
    </w:p>
    <w:p w14:paraId="65CF7569">
      <w:pPr>
        <w:pStyle w:val="59"/>
        <w:spacing w:line="360" w:lineRule="auto"/>
        <w:ind w:firstLine="422"/>
        <w:rPr>
          <w:rFonts w:ascii="Times New Roman"/>
          <w:b/>
          <w:bCs/>
        </w:rPr>
      </w:pPr>
      <w:r>
        <w:rPr>
          <w:rFonts w:hint="eastAsia" w:ascii="Times New Roman"/>
          <w:b/>
          <w:bCs/>
        </w:rPr>
        <w:t>3.</w:t>
      </w:r>
      <w:r>
        <w:rPr>
          <w:rFonts w:hint="eastAsia" w:ascii="Times New Roman"/>
          <w:b/>
          <w:bCs/>
          <w:lang w:val="en-US" w:eastAsia="zh-CN"/>
        </w:rPr>
        <w:t>9</w:t>
      </w:r>
      <w:r>
        <w:rPr>
          <w:rFonts w:hint="eastAsia" w:ascii="Times New Roman"/>
          <w:b/>
          <w:bCs/>
        </w:rPr>
        <w:t xml:space="preserve"> 筛</w:t>
      </w:r>
      <w:r>
        <w:rPr>
          <w:rFonts w:hint="eastAsia" w:ascii="Times New Roman"/>
          <w:b/>
          <w:bCs/>
          <w:lang w:val="en-US" w:eastAsia="zh-CN"/>
        </w:rPr>
        <w:t>查 s</w:t>
      </w:r>
      <w:r>
        <w:rPr>
          <w:rFonts w:hint="eastAsia" w:ascii="Times New Roman"/>
          <w:b/>
          <w:bCs/>
        </w:rPr>
        <w:t>creening</w:t>
      </w:r>
    </w:p>
    <w:p w14:paraId="74822123">
      <w:pPr>
        <w:pStyle w:val="59"/>
        <w:spacing w:line="360" w:lineRule="auto"/>
        <w:ind w:firstLine="420"/>
        <w:rPr>
          <w:rFonts w:hint="eastAsia" w:ascii="Times New Roman" w:eastAsia="宋体"/>
          <w:lang w:eastAsia="zh-CN"/>
        </w:rPr>
      </w:pPr>
      <w:r>
        <w:rPr>
          <w:rFonts w:hint="eastAsia" w:ascii="Times New Roman"/>
        </w:rPr>
        <w:t>通过有效、简便、经济的检查措施，在无症状</w:t>
      </w:r>
      <w:r>
        <w:rPr>
          <w:rFonts w:hint="eastAsia" w:ascii="Times New Roman"/>
          <w:lang w:val="en-US" w:eastAsia="zh-CN"/>
        </w:rPr>
        <w:t>人群</w:t>
      </w:r>
      <w:r>
        <w:rPr>
          <w:rFonts w:hint="eastAsia" w:ascii="Times New Roman"/>
        </w:rPr>
        <w:t>中识别和发现具有进展潜能的</w:t>
      </w:r>
      <w:r>
        <w:rPr>
          <w:rFonts w:hint="eastAsia" w:ascii="Times New Roman"/>
          <w:lang w:val="en-US" w:eastAsia="zh-CN"/>
        </w:rPr>
        <w:t>疾病前期患者</w:t>
      </w:r>
      <w:r>
        <w:rPr>
          <w:rFonts w:hint="eastAsia" w:ascii="Times New Roman"/>
        </w:rPr>
        <w:t>，以期早期发现、早期诊断及早期治疗，其最终目的是降低人群死亡率</w:t>
      </w:r>
      <w:r>
        <w:rPr>
          <w:rFonts w:hint="eastAsia" w:ascii="Times New Roman"/>
          <w:lang w:eastAsia="zh-CN"/>
        </w:rPr>
        <w:t>。（</w:t>
      </w:r>
      <w:r>
        <w:rPr>
          <w:rFonts w:hint="eastAsia" w:ascii="Times New Roman"/>
          <w:lang w:val="en-US" w:eastAsia="zh-CN"/>
        </w:rPr>
        <w:t>来源：《乳腺癌诊疗指南（2022年版）》，有修改</w:t>
      </w:r>
      <w:r>
        <w:rPr>
          <w:rFonts w:hint="eastAsia" w:ascii="Times New Roman"/>
          <w:lang w:eastAsia="zh-CN"/>
        </w:rPr>
        <w:t>）</w:t>
      </w:r>
    </w:p>
    <w:p w14:paraId="1DF600A2">
      <w:pPr>
        <w:pStyle w:val="59"/>
        <w:spacing w:line="360" w:lineRule="auto"/>
        <w:ind w:firstLine="422"/>
        <w:rPr>
          <w:rFonts w:ascii="Times New Roman"/>
          <w:b/>
          <w:bCs/>
        </w:rPr>
      </w:pPr>
      <w:r>
        <w:rPr>
          <w:rFonts w:hint="eastAsia" w:ascii="Times New Roman"/>
          <w:b/>
          <w:bCs/>
        </w:rPr>
        <w:t>3.</w:t>
      </w:r>
      <w:r>
        <w:rPr>
          <w:rFonts w:hint="eastAsia" w:ascii="Times New Roman"/>
          <w:b/>
          <w:bCs/>
          <w:lang w:val="en-US" w:eastAsia="zh-CN"/>
        </w:rPr>
        <w:t>10</w:t>
      </w:r>
      <w:r>
        <w:rPr>
          <w:rFonts w:hint="eastAsia" w:ascii="Times New Roman"/>
          <w:b/>
          <w:bCs/>
        </w:rPr>
        <w:t xml:space="preserve"> </w:t>
      </w:r>
      <w:r>
        <w:rPr>
          <w:rFonts w:hint="eastAsia" w:ascii="Times New Roman"/>
          <w:b/>
          <w:bCs/>
          <w:lang w:val="en-US" w:eastAsia="zh-CN"/>
        </w:rPr>
        <w:t>管理 m</w:t>
      </w:r>
      <w:r>
        <w:rPr>
          <w:rFonts w:hint="eastAsia" w:ascii="Times New Roman"/>
          <w:b/>
          <w:bCs/>
        </w:rPr>
        <w:t>anagement</w:t>
      </w:r>
    </w:p>
    <w:p w14:paraId="76E0FA93">
      <w:pPr>
        <w:pStyle w:val="59"/>
        <w:spacing w:line="360" w:lineRule="auto"/>
        <w:ind w:firstLine="420"/>
        <w:rPr>
          <w:rFonts w:hint="default" w:ascii="Times New Roman"/>
          <w:lang w:val="en-US" w:eastAsia="zh-CN"/>
        </w:rPr>
      </w:pPr>
      <w:r>
        <w:rPr>
          <w:rFonts w:hint="eastAsia" w:ascii="Times New Roman"/>
        </w:rPr>
        <w:t>对个体或群体健康进行监测、分析、评估，提供健康咨询和指导，及对影响健康的危险因素进行干预的过程。</w:t>
      </w:r>
      <w:r>
        <w:rPr>
          <w:rFonts w:hint="eastAsia" w:ascii="Times New Roman"/>
          <w:lang w:val="en-US" w:eastAsia="zh-CN"/>
        </w:rPr>
        <w:t>[来源：GB/T 39509-2020 健康管理保健服务规范]</w:t>
      </w:r>
    </w:p>
    <w:p w14:paraId="09057933">
      <w:pPr>
        <w:pStyle w:val="59"/>
        <w:spacing w:line="360" w:lineRule="auto"/>
        <w:ind w:firstLine="422"/>
        <w:rPr>
          <w:rFonts w:ascii="Times New Roman"/>
          <w:b/>
          <w:bCs/>
        </w:rPr>
      </w:pPr>
      <w:r>
        <w:rPr>
          <w:rFonts w:hint="eastAsia" w:ascii="Times New Roman"/>
          <w:b/>
          <w:bCs/>
        </w:rPr>
        <w:t>3.</w:t>
      </w:r>
      <w:r>
        <w:rPr>
          <w:rFonts w:hint="eastAsia" w:ascii="Times New Roman"/>
          <w:b/>
          <w:bCs/>
          <w:lang w:val="en-US" w:eastAsia="zh-CN"/>
        </w:rPr>
        <w:t>11</w:t>
      </w:r>
      <w:r>
        <w:rPr>
          <w:rFonts w:hint="eastAsia" w:ascii="Times New Roman"/>
          <w:b/>
          <w:bCs/>
        </w:rPr>
        <w:t xml:space="preserve"> </w:t>
      </w:r>
      <w:r>
        <w:rPr>
          <w:rFonts w:hint="eastAsia" w:ascii="Times New Roman"/>
          <w:b/>
          <w:bCs/>
          <w:lang w:val="en-US" w:eastAsia="zh-CN"/>
        </w:rPr>
        <w:t>康复 r</w:t>
      </w:r>
      <w:r>
        <w:rPr>
          <w:rFonts w:hint="eastAsia" w:ascii="Times New Roman"/>
          <w:b/>
          <w:bCs/>
        </w:rPr>
        <w:t>ehabilitation</w:t>
      </w:r>
    </w:p>
    <w:p w14:paraId="6D33A624">
      <w:pPr>
        <w:pStyle w:val="59"/>
        <w:spacing w:line="360" w:lineRule="auto"/>
        <w:ind w:firstLine="422"/>
        <w:rPr>
          <w:rFonts w:hint="default" w:ascii="Times New Roman" w:eastAsia="宋体"/>
          <w:lang w:val="en-US" w:eastAsia="zh-CN"/>
        </w:rPr>
      </w:pPr>
      <w:r>
        <w:rPr>
          <w:rFonts w:hint="eastAsia" w:ascii="Times New Roman"/>
        </w:rPr>
        <w:t>指应用药物、运动、营养、精神心理及行为干预、戒烟限酒</w:t>
      </w:r>
      <w:r>
        <w:rPr>
          <w:rFonts w:hint="eastAsia" w:ascii="Times New Roman"/>
          <w:lang w:val="en-US" w:eastAsia="zh-CN"/>
        </w:rPr>
        <w:t>等方式</w:t>
      </w:r>
      <w:r>
        <w:rPr>
          <w:rFonts w:hint="eastAsia" w:ascii="Times New Roman"/>
        </w:rPr>
        <w:t>及综合性医疗措施，使患者获得正常或者接近正常的生活状态，降低其</w:t>
      </w:r>
      <w:r>
        <w:rPr>
          <w:rFonts w:hint="eastAsia" w:ascii="Times New Roman"/>
          <w:lang w:val="en-US" w:eastAsia="zh-CN"/>
        </w:rPr>
        <w:t>复发风险</w:t>
      </w:r>
      <w:r>
        <w:rPr>
          <w:rFonts w:hint="eastAsia" w:ascii="Times New Roman"/>
        </w:rPr>
        <w:t>，尽早恢复体力和回归社会</w:t>
      </w:r>
      <w:r>
        <w:rPr>
          <w:rFonts w:hint="eastAsia" w:ascii="Times New Roman"/>
          <w:lang w:eastAsia="zh-CN"/>
        </w:rPr>
        <w:t>。</w:t>
      </w:r>
      <w:r>
        <w:rPr>
          <w:rFonts w:hint="eastAsia" w:ascii="Times New Roman"/>
          <w:lang w:val="en-US" w:eastAsia="zh-CN"/>
        </w:rPr>
        <w:t>[来源：《冠心病心脏康复基层指南(2020年)》，有修改]</w:t>
      </w:r>
    </w:p>
    <w:p w14:paraId="5D05D12A">
      <w:pPr>
        <w:pStyle w:val="59"/>
        <w:spacing w:line="360" w:lineRule="auto"/>
        <w:ind w:firstLine="422"/>
        <w:rPr>
          <w:rFonts w:ascii="Times New Roman"/>
          <w:b/>
          <w:bCs/>
        </w:rPr>
      </w:pPr>
      <w:r>
        <w:rPr>
          <w:rFonts w:hint="eastAsia" w:ascii="Times New Roman"/>
          <w:b/>
          <w:bCs/>
        </w:rPr>
        <w:t>3.</w:t>
      </w:r>
      <w:r>
        <w:rPr>
          <w:rFonts w:hint="eastAsia" w:ascii="Times New Roman"/>
          <w:b/>
          <w:bCs/>
          <w:lang w:val="en-US" w:eastAsia="zh-CN"/>
        </w:rPr>
        <w:t>12</w:t>
      </w:r>
      <w:r>
        <w:rPr>
          <w:rFonts w:hint="eastAsia" w:ascii="Times New Roman"/>
          <w:b/>
          <w:bCs/>
        </w:rPr>
        <w:t xml:space="preserve"> </w:t>
      </w:r>
      <w:r>
        <w:rPr>
          <w:rFonts w:hint="eastAsia" w:ascii="Times New Roman"/>
          <w:b/>
          <w:bCs/>
          <w:lang w:val="en-US" w:eastAsia="zh-CN"/>
        </w:rPr>
        <w:t xml:space="preserve">护理 </w:t>
      </w:r>
      <w:r>
        <w:rPr>
          <w:rFonts w:hint="eastAsia" w:ascii="Times New Roman"/>
          <w:b/>
          <w:bCs/>
        </w:rPr>
        <w:t>nursing</w:t>
      </w:r>
    </w:p>
    <w:p w14:paraId="7F922139">
      <w:pPr>
        <w:pStyle w:val="59"/>
        <w:spacing w:line="360" w:lineRule="auto"/>
        <w:ind w:firstLine="420"/>
        <w:rPr>
          <w:rFonts w:hint="default" w:ascii="Times New Roman"/>
          <w:lang w:val="en-US"/>
        </w:rPr>
      </w:pPr>
      <w:r>
        <w:rPr>
          <w:rFonts w:hint="default" w:ascii="Times New Roman"/>
          <w:lang w:val="en-US"/>
        </w:rPr>
        <w:t>为患者提供</w:t>
      </w:r>
      <w:r>
        <w:rPr>
          <w:rFonts w:hint="eastAsia" w:ascii="Times New Roman"/>
          <w:lang w:val="en-US" w:eastAsia="zh-CN"/>
        </w:rPr>
        <w:t>医院、机构</w:t>
      </w:r>
      <w:r>
        <w:rPr>
          <w:rFonts w:hint="default" w:ascii="Times New Roman"/>
          <w:lang w:val="en-US"/>
        </w:rPr>
        <w:t>或居家场景的照护服务，包括治疗性护理、生活照料、安宁疗护等。</w:t>
      </w:r>
    </w:p>
    <w:p w14:paraId="38012B8A">
      <w:pPr>
        <w:pStyle w:val="64"/>
        <w:numPr>
          <w:ilvl w:val="1"/>
          <w:numId w:val="0"/>
        </w:numPr>
        <w:adjustRightInd w:val="0"/>
        <w:snapToGrid w:val="0"/>
        <w:spacing w:before="240" w:after="240" w:line="360" w:lineRule="auto"/>
        <w:jc w:val="left"/>
        <w:rPr>
          <w:rFonts w:hint="eastAsia" w:hAnsi="黑体" w:cs="黑体"/>
          <w:b/>
          <w:bCs/>
          <w:szCs w:val="21"/>
          <w:lang w:val="en-US" w:eastAsia="zh-CN"/>
        </w:rPr>
      </w:pPr>
      <w:bookmarkStart w:id="26" w:name="_Toc13440"/>
      <w:bookmarkStart w:id="27" w:name="_Toc206164552"/>
      <w:bookmarkStart w:id="28" w:name="_Toc12642"/>
      <w:r>
        <w:rPr>
          <w:rFonts w:hint="eastAsia" w:hAnsi="黑体" w:cs="黑体"/>
          <w:b/>
          <w:bCs/>
          <w:szCs w:val="21"/>
        </w:rPr>
        <w:t xml:space="preserve">4 </w:t>
      </w:r>
      <w:bookmarkEnd w:id="26"/>
      <w:bookmarkEnd w:id="27"/>
      <w:r>
        <w:rPr>
          <w:rFonts w:hint="eastAsia" w:hAnsi="黑体" w:cs="黑体"/>
          <w:b/>
          <w:bCs/>
          <w:szCs w:val="21"/>
          <w:lang w:val="en-US" w:eastAsia="zh-CN"/>
        </w:rPr>
        <w:t>服务原则</w:t>
      </w:r>
      <w:bookmarkEnd w:id="28"/>
    </w:p>
    <w:p w14:paraId="05C32A39">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 xml:space="preserve">4.1 科学循证 </w:t>
      </w:r>
    </w:p>
    <w:p w14:paraId="54924D9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20" w:firstLineChars="200"/>
        <w:textAlignment w:val="auto"/>
        <w:outlineLvl w:val="9"/>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各类服务技术与干预措施应以国内外权威指南、共识和标准为依据，优先采用证据质量高且适用人群与适应证明确的路径。</w:t>
      </w:r>
    </w:p>
    <w:p w14:paraId="2B32DC9A">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4.2 公平可及</w:t>
      </w:r>
    </w:p>
    <w:p w14:paraId="7EE90336">
      <w:pPr>
        <w:pStyle w:val="64"/>
        <w:numPr>
          <w:ilvl w:val="1"/>
          <w:numId w:val="0"/>
        </w:numPr>
        <w:adjustRightInd w:val="0"/>
        <w:snapToGrid w:val="0"/>
        <w:spacing w:before="240" w:after="240" w:line="360" w:lineRule="auto"/>
        <w:ind w:firstLine="420" w:firstLineChars="200"/>
        <w:jc w:val="left"/>
        <w:outlineLvl w:val="9"/>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服务供给应坚持需求导向，</w:t>
      </w:r>
      <w:r>
        <w:rPr>
          <w:rFonts w:hint="eastAsia" w:ascii="Times New Roman" w:eastAsia="宋体" w:cs="Times New Roman"/>
          <w:kern w:val="0"/>
          <w:sz w:val="21"/>
          <w:szCs w:val="20"/>
          <w:lang w:val="en-US" w:eastAsia="zh-CN" w:bidi="ar-SA"/>
        </w:rPr>
        <w:t>兼顾</w:t>
      </w:r>
      <w:r>
        <w:rPr>
          <w:rFonts w:hint="eastAsia" w:ascii="Times New Roman" w:hAnsi="Times New Roman" w:eastAsia="宋体" w:cs="Times New Roman"/>
          <w:kern w:val="0"/>
          <w:sz w:val="21"/>
          <w:szCs w:val="20"/>
          <w:lang w:val="en-US" w:eastAsia="zh-CN" w:bidi="ar-SA"/>
        </w:rPr>
        <w:t>农村地区、低收入人群、老年人等群体的服务</w:t>
      </w:r>
      <w:r>
        <w:rPr>
          <w:rFonts w:hint="eastAsia" w:ascii="Times New Roman" w:eastAsia="宋体" w:cs="Times New Roman"/>
          <w:kern w:val="0"/>
          <w:sz w:val="21"/>
          <w:szCs w:val="20"/>
          <w:lang w:val="en-US" w:eastAsia="zh-CN" w:bidi="ar-SA"/>
        </w:rPr>
        <w:t>可及性</w:t>
      </w:r>
      <w:r>
        <w:rPr>
          <w:rFonts w:hint="eastAsia" w:ascii="Times New Roman" w:hAnsi="Times New Roman" w:eastAsia="宋体" w:cs="Times New Roman"/>
          <w:kern w:val="0"/>
          <w:sz w:val="21"/>
          <w:szCs w:val="20"/>
          <w:lang w:val="en-US" w:eastAsia="zh-CN" w:bidi="ar-SA"/>
        </w:rPr>
        <w:t>。</w:t>
      </w:r>
    </w:p>
    <w:p w14:paraId="3C54605B">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4.3 整合协同</w:t>
      </w:r>
    </w:p>
    <w:p w14:paraId="2A81BF0A">
      <w:pPr>
        <w:pStyle w:val="64"/>
        <w:numPr>
          <w:ilvl w:val="1"/>
          <w:numId w:val="0"/>
        </w:numPr>
        <w:adjustRightInd w:val="0"/>
        <w:snapToGrid w:val="0"/>
        <w:spacing w:before="240" w:after="240" w:line="360" w:lineRule="auto"/>
        <w:ind w:firstLine="420" w:firstLineChars="200"/>
        <w:jc w:val="left"/>
        <w:outlineLvl w:val="9"/>
        <w:rPr>
          <w:rFonts w:hint="eastAsia" w:ascii="Times New Roman" w:hAnsi="Times New Roman" w:eastAsia="宋体" w:cs="Times New Roman"/>
          <w:kern w:val="0"/>
          <w:sz w:val="21"/>
          <w:szCs w:val="20"/>
          <w:lang w:val="en-US" w:eastAsia="zh-CN" w:bidi="ar-SA"/>
        </w:rPr>
      </w:pPr>
      <w:r>
        <w:rPr>
          <w:rFonts w:hint="eastAsia" w:ascii="Times New Roman" w:eastAsia="宋体" w:cs="Times New Roman"/>
          <w:kern w:val="0"/>
          <w:sz w:val="21"/>
          <w:szCs w:val="20"/>
          <w:lang w:val="en-US" w:eastAsia="zh-CN" w:bidi="ar-SA"/>
        </w:rPr>
        <w:t>宜</w:t>
      </w:r>
      <w:r>
        <w:rPr>
          <w:rFonts w:hint="eastAsia" w:ascii="Times New Roman" w:hAnsi="Times New Roman" w:eastAsia="宋体" w:cs="Times New Roman"/>
          <w:kern w:val="0"/>
          <w:sz w:val="21"/>
          <w:szCs w:val="20"/>
          <w:lang w:val="en-US" w:eastAsia="zh-CN" w:bidi="ar-SA"/>
        </w:rPr>
        <w:t>推动“防、筛、管、治、康、护”全链条衔接，统一信息记录与随访流程，减少重复</w:t>
      </w:r>
      <w:r>
        <w:rPr>
          <w:rFonts w:hint="eastAsia" w:ascii="Times New Roman" w:eastAsia="宋体" w:cs="Times New Roman"/>
          <w:kern w:val="0"/>
          <w:sz w:val="21"/>
          <w:szCs w:val="20"/>
          <w:lang w:val="en-US" w:eastAsia="zh-CN" w:bidi="ar-SA"/>
        </w:rPr>
        <w:t>工作</w:t>
      </w:r>
      <w:r>
        <w:rPr>
          <w:rFonts w:hint="eastAsia" w:ascii="Times New Roman" w:hAnsi="Times New Roman" w:eastAsia="宋体" w:cs="Times New Roman"/>
          <w:kern w:val="0"/>
          <w:sz w:val="21"/>
          <w:szCs w:val="20"/>
          <w:lang w:val="en-US" w:eastAsia="zh-CN" w:bidi="ar-SA"/>
        </w:rPr>
        <w:t>；具备条件时推进电子健康档案和信息系统互联互通。</w:t>
      </w:r>
    </w:p>
    <w:p w14:paraId="504D94C9">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4.4 动态优化</w:t>
      </w:r>
      <w:bookmarkStart w:id="29" w:name="_Toc10008"/>
    </w:p>
    <w:p w14:paraId="2B9E756F">
      <w:pPr>
        <w:pStyle w:val="64"/>
        <w:numPr>
          <w:ilvl w:val="1"/>
          <w:numId w:val="0"/>
        </w:numPr>
        <w:adjustRightInd w:val="0"/>
        <w:snapToGrid w:val="0"/>
        <w:spacing w:before="240" w:after="240" w:line="360" w:lineRule="auto"/>
        <w:ind w:firstLine="420" w:firstLineChars="200"/>
        <w:jc w:val="left"/>
        <w:outlineLvl w:val="9"/>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技术清单与服务规范应建立动态更新机制，定期</w:t>
      </w:r>
      <w:r>
        <w:rPr>
          <w:rFonts w:hint="eastAsia" w:ascii="Times New Roman" w:eastAsia="宋体" w:cs="Times New Roman"/>
          <w:color w:val="auto"/>
          <w:kern w:val="0"/>
          <w:sz w:val="21"/>
          <w:szCs w:val="20"/>
          <w:lang w:val="en-US" w:eastAsia="zh-CN" w:bidi="ar-SA"/>
        </w:rPr>
        <w:t>根据</w:t>
      </w:r>
      <w:r>
        <w:rPr>
          <w:rFonts w:hint="eastAsia" w:ascii="Times New Roman" w:hAnsi="Times New Roman" w:eastAsia="宋体" w:cs="Times New Roman"/>
          <w:color w:val="auto"/>
          <w:kern w:val="0"/>
          <w:sz w:val="21"/>
          <w:szCs w:val="20"/>
          <w:lang w:val="en-US" w:eastAsia="zh-CN" w:bidi="ar-SA"/>
        </w:rPr>
        <w:t>实施效果评估及时</w:t>
      </w:r>
      <w:r>
        <w:rPr>
          <w:rFonts w:hint="eastAsia" w:ascii="Times New Roman" w:eastAsia="宋体" w:cs="Times New Roman"/>
          <w:color w:val="auto"/>
          <w:kern w:val="0"/>
          <w:sz w:val="21"/>
          <w:szCs w:val="20"/>
          <w:lang w:val="en-US" w:eastAsia="zh-CN" w:bidi="ar-SA"/>
        </w:rPr>
        <w:t>修改更新</w:t>
      </w:r>
      <w:r>
        <w:rPr>
          <w:rFonts w:hint="eastAsia" w:ascii="Times New Roman" w:hAnsi="Times New Roman" w:eastAsia="宋体" w:cs="Times New Roman"/>
          <w:color w:val="auto"/>
          <w:kern w:val="0"/>
          <w:sz w:val="21"/>
          <w:szCs w:val="20"/>
          <w:lang w:val="en-US" w:eastAsia="zh-CN" w:bidi="ar-SA"/>
        </w:rPr>
        <w:t>。三级技术清单宜每两年更新</w:t>
      </w:r>
      <w:r>
        <w:rPr>
          <w:rFonts w:hint="eastAsia" w:ascii="Times New Roman" w:eastAsia="宋体" w:cs="Times New Roman"/>
          <w:color w:val="auto"/>
          <w:kern w:val="0"/>
          <w:sz w:val="21"/>
          <w:szCs w:val="20"/>
          <w:lang w:val="en-US" w:eastAsia="zh-CN" w:bidi="ar-SA"/>
        </w:rPr>
        <w:t>一次</w:t>
      </w:r>
      <w:r>
        <w:rPr>
          <w:rFonts w:hint="eastAsia" w:ascii="Times New Roman" w:hAnsi="Times New Roman" w:eastAsia="宋体" w:cs="Times New Roman"/>
          <w:color w:val="auto"/>
          <w:kern w:val="0"/>
          <w:sz w:val="21"/>
          <w:szCs w:val="20"/>
          <w:lang w:val="en-US" w:eastAsia="zh-CN" w:bidi="ar-SA"/>
        </w:rPr>
        <w:t>，并明确新增、保留、退出</w:t>
      </w:r>
      <w:r>
        <w:rPr>
          <w:rFonts w:hint="eastAsia" w:ascii="Times New Roman" w:eastAsia="宋体" w:cs="Times New Roman"/>
          <w:color w:val="auto"/>
          <w:kern w:val="0"/>
          <w:sz w:val="21"/>
          <w:szCs w:val="20"/>
          <w:lang w:val="en-US" w:eastAsia="zh-CN" w:bidi="ar-SA"/>
        </w:rPr>
        <w:t>内容</w:t>
      </w:r>
      <w:r>
        <w:rPr>
          <w:rFonts w:hint="eastAsia" w:ascii="Times New Roman" w:hAnsi="Times New Roman" w:eastAsia="宋体" w:cs="Times New Roman"/>
          <w:color w:val="auto"/>
          <w:kern w:val="0"/>
          <w:sz w:val="21"/>
          <w:szCs w:val="20"/>
          <w:lang w:val="en-US" w:eastAsia="zh-CN" w:bidi="ar-SA"/>
        </w:rPr>
        <w:t>；对证据不足、效果不明或</w:t>
      </w:r>
      <w:r>
        <w:rPr>
          <w:rFonts w:hint="eastAsia" w:ascii="Times New Roman" w:eastAsia="宋体" w:cs="Times New Roman"/>
          <w:color w:val="auto"/>
          <w:kern w:val="0"/>
          <w:sz w:val="21"/>
          <w:szCs w:val="20"/>
          <w:lang w:val="en-US" w:eastAsia="zh-CN" w:bidi="ar-SA"/>
        </w:rPr>
        <w:t>存在</w:t>
      </w:r>
      <w:r>
        <w:rPr>
          <w:rFonts w:hint="eastAsia" w:ascii="Times New Roman" w:hAnsi="Times New Roman" w:eastAsia="宋体" w:cs="Times New Roman"/>
          <w:color w:val="auto"/>
          <w:kern w:val="0"/>
          <w:sz w:val="21"/>
          <w:szCs w:val="20"/>
          <w:lang w:val="en-US" w:eastAsia="zh-CN" w:bidi="ar-SA"/>
        </w:rPr>
        <w:t>风险的技术应及时暂停或退出。</w:t>
      </w:r>
    </w:p>
    <w:p w14:paraId="17C568B7">
      <w:pPr>
        <w:pStyle w:val="64"/>
        <w:numPr>
          <w:ilvl w:val="1"/>
          <w:numId w:val="0"/>
        </w:numPr>
        <w:adjustRightInd w:val="0"/>
        <w:snapToGrid w:val="0"/>
        <w:spacing w:before="240" w:after="240" w:line="360" w:lineRule="auto"/>
        <w:ind w:firstLine="420" w:firstLineChars="200"/>
        <w:jc w:val="left"/>
        <w:outlineLvl w:val="9"/>
        <w:rPr>
          <w:rFonts w:hint="eastAsia" w:ascii="黑体" w:hAnsi="黑体" w:eastAsia="黑体"/>
          <w:color w:val="000000" w:themeColor="text1"/>
          <w:sz w:val="21"/>
          <w:szCs w:val="21"/>
          <w:lang w:val="en-US" w:eastAsia="zh-CN"/>
          <w14:textFill>
            <w14:solidFill>
              <w14:schemeClr w14:val="tx1"/>
            </w14:solidFill>
          </w14:textFill>
        </w:rPr>
      </w:pPr>
    </w:p>
    <w:p w14:paraId="32EADDE2">
      <w:pPr>
        <w:pStyle w:val="64"/>
        <w:numPr>
          <w:ilvl w:val="1"/>
          <w:numId w:val="0"/>
        </w:numPr>
        <w:adjustRightInd w:val="0"/>
        <w:snapToGrid w:val="0"/>
        <w:spacing w:before="240" w:after="240" w:line="360" w:lineRule="auto"/>
        <w:jc w:val="left"/>
        <w:rPr>
          <w:rFonts w:hint="eastAsia" w:hAnsi="黑体" w:cs="黑体"/>
          <w:b/>
          <w:bCs/>
          <w:szCs w:val="21"/>
          <w:lang w:val="en-US" w:eastAsia="zh-CN"/>
        </w:rPr>
      </w:pPr>
      <w:bookmarkStart w:id="30" w:name="_Toc17003"/>
      <w:r>
        <w:rPr>
          <w:rFonts w:hint="eastAsia" w:hAnsi="黑体" w:cs="黑体"/>
          <w:b/>
          <w:bCs/>
          <w:szCs w:val="21"/>
          <w:lang w:val="en-US" w:eastAsia="zh-CN"/>
        </w:rPr>
        <w:t>5. 评估指标</w:t>
      </w:r>
      <w:bookmarkEnd w:id="30"/>
    </w:p>
    <w:p w14:paraId="204B391C">
      <w:pPr>
        <w:pStyle w:val="64"/>
        <w:numPr>
          <w:ilvl w:val="1"/>
          <w:numId w:val="0"/>
        </w:numPr>
        <w:adjustRightInd w:val="0"/>
        <w:snapToGrid w:val="0"/>
        <w:spacing w:before="240" w:after="240" w:line="360" w:lineRule="auto"/>
        <w:jc w:val="left"/>
        <w:outlineLvl w:val="9"/>
        <w:rPr>
          <w:rFonts w:hint="default" w:ascii="Times New Roman"/>
          <w:lang w:val="en-US"/>
        </w:rPr>
      </w:pPr>
      <w:r>
        <w:rPr>
          <w:rFonts w:hint="eastAsia" w:hAnsi="黑体" w:cs="黑体"/>
          <w:b/>
          <w:bCs/>
          <w:szCs w:val="21"/>
          <w:lang w:val="en-US" w:eastAsia="zh-CN"/>
        </w:rPr>
        <w:t>5.1 冠心病</w:t>
      </w:r>
    </w:p>
    <w:p w14:paraId="74963189">
      <w:pPr>
        <w:spacing w:line="360" w:lineRule="auto"/>
        <w:outlineLvl w:val="9"/>
        <w:rPr>
          <w:rFonts w:hint="eastAsia" w:ascii="黑体" w:hAnsi="黑体" w:eastAsia="黑体"/>
          <w:color w:val="000000" w:themeColor="text1"/>
          <w:sz w:val="21"/>
          <w:szCs w:val="21"/>
          <w:lang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1.</w:t>
      </w:r>
      <w:r>
        <w:rPr>
          <w:rFonts w:hint="eastAsia" w:ascii="黑体" w:hAnsi="黑体" w:eastAsia="黑体"/>
          <w:color w:val="000000" w:themeColor="text1"/>
          <w:sz w:val="21"/>
          <w:szCs w:val="21"/>
          <w14:textFill>
            <w14:solidFill>
              <w14:schemeClr w14:val="tx1"/>
            </w14:solidFill>
          </w14:textFill>
        </w:rPr>
        <w:t>1 一级</w:t>
      </w:r>
      <w:r>
        <w:rPr>
          <w:rFonts w:hint="eastAsia" w:ascii="黑体" w:hAnsi="黑体" w:eastAsia="黑体"/>
          <w:color w:val="000000" w:themeColor="text1"/>
          <w:sz w:val="21"/>
          <w:szCs w:val="21"/>
          <w:lang w:val="en-US" w:eastAsia="zh-CN"/>
          <w14:textFill>
            <w14:solidFill>
              <w14:schemeClr w14:val="tx1"/>
            </w14:solidFill>
          </w14:textFill>
        </w:rPr>
        <w:t>技术</w:t>
      </w:r>
    </w:p>
    <w:p w14:paraId="1505940A">
      <w:pPr>
        <w:pStyle w:val="59"/>
        <w:spacing w:line="360" w:lineRule="auto"/>
        <w:ind w:firstLine="420"/>
        <w:outlineLvl w:val="9"/>
        <w:rPr>
          <w:rFonts w:ascii="Times New Roman"/>
        </w:rPr>
      </w:pPr>
      <w:r>
        <w:rPr>
          <w:rFonts w:hint="eastAsia" w:ascii="Times New Roman"/>
        </w:rPr>
        <w:t>共6个一级</w:t>
      </w:r>
      <w:r>
        <w:rPr>
          <w:rFonts w:hint="eastAsia" w:ascii="Times New Roman"/>
          <w:lang w:val="en-US" w:eastAsia="zh-CN"/>
        </w:rPr>
        <w:t>技术</w:t>
      </w:r>
      <w:r>
        <w:rPr>
          <w:rFonts w:hint="eastAsia" w:ascii="Times New Roman"/>
        </w:rPr>
        <w:t>，包括预防干预、早期筛查、分级管理、规范治疗、功能康复、长期护理。</w:t>
      </w:r>
    </w:p>
    <w:p w14:paraId="17219BF0">
      <w:pPr>
        <w:spacing w:line="360" w:lineRule="auto"/>
        <w:outlineLvl w:val="9"/>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1.</w:t>
      </w:r>
      <w:r>
        <w:rPr>
          <w:rFonts w:hint="eastAsia" w:ascii="黑体" w:hAnsi="黑体" w:eastAsia="黑体"/>
          <w:color w:val="000000" w:themeColor="text1"/>
          <w:sz w:val="21"/>
          <w:szCs w:val="21"/>
          <w14:textFill>
            <w14:solidFill>
              <w14:schemeClr w14:val="tx1"/>
            </w14:solidFill>
          </w14:textFill>
        </w:rPr>
        <w:t>2 二级</w:t>
      </w:r>
      <w:r>
        <w:rPr>
          <w:rFonts w:hint="eastAsia" w:ascii="黑体" w:hAnsi="黑体" w:eastAsia="黑体"/>
          <w:color w:val="000000" w:themeColor="text1"/>
          <w:sz w:val="21"/>
          <w:szCs w:val="21"/>
          <w:lang w:val="en-US" w:eastAsia="zh-CN"/>
          <w14:textFill>
            <w14:solidFill>
              <w14:schemeClr w14:val="tx1"/>
            </w14:solidFill>
          </w14:textFill>
        </w:rPr>
        <w:t>技术</w:t>
      </w:r>
    </w:p>
    <w:p w14:paraId="76C08655">
      <w:pPr>
        <w:pStyle w:val="59"/>
        <w:spacing w:line="360" w:lineRule="auto"/>
        <w:ind w:firstLine="420"/>
        <w:outlineLvl w:val="9"/>
        <w:rPr>
          <w:rFonts w:ascii="Times New Roman"/>
        </w:rPr>
      </w:pPr>
      <w:r>
        <w:rPr>
          <w:rFonts w:hint="eastAsia" w:ascii="Times New Roman"/>
        </w:rPr>
        <w:t>共</w:t>
      </w:r>
      <w:r>
        <w:rPr>
          <w:rFonts w:hint="eastAsia" w:ascii="Times New Roman"/>
          <w:lang w:val="en-US" w:eastAsia="zh-CN"/>
        </w:rPr>
        <w:t>20</w:t>
      </w:r>
      <w:r>
        <w:rPr>
          <w:rFonts w:hint="eastAsia" w:ascii="Times New Roman"/>
        </w:rPr>
        <w:t>个二级</w:t>
      </w:r>
      <w:r>
        <w:rPr>
          <w:rFonts w:hint="eastAsia" w:ascii="Times New Roman"/>
          <w:lang w:val="en-US" w:eastAsia="zh-CN"/>
        </w:rPr>
        <w:t>技术</w:t>
      </w:r>
      <w:r>
        <w:rPr>
          <w:rFonts w:hint="eastAsia" w:ascii="Times New Roman"/>
        </w:rPr>
        <w:t>，包括健康教育</w:t>
      </w:r>
      <w:r>
        <w:rPr>
          <w:rFonts w:hint="eastAsia" w:ascii="Times New Roman"/>
          <w:lang w:eastAsia="zh-CN"/>
        </w:rPr>
        <w:t>、</w:t>
      </w:r>
      <w:r>
        <w:rPr>
          <w:rFonts w:hint="eastAsia" w:ascii="Times New Roman"/>
        </w:rPr>
        <w:t>危险因素控制</w:t>
      </w:r>
      <w:r>
        <w:rPr>
          <w:rFonts w:hint="eastAsia" w:ascii="Times New Roman"/>
          <w:lang w:eastAsia="zh-CN"/>
        </w:rPr>
        <w:t>、</w:t>
      </w:r>
      <w:r>
        <w:rPr>
          <w:rFonts w:hint="eastAsia" w:ascii="Times New Roman"/>
        </w:rPr>
        <w:t>高危人群识别</w:t>
      </w:r>
      <w:r>
        <w:rPr>
          <w:rFonts w:hint="eastAsia" w:ascii="Times New Roman"/>
          <w:lang w:eastAsia="zh-CN"/>
        </w:rPr>
        <w:t>、</w:t>
      </w:r>
      <w:r>
        <w:rPr>
          <w:rFonts w:hint="eastAsia" w:ascii="Times New Roman"/>
        </w:rPr>
        <w:t>标准化筛查工具</w:t>
      </w:r>
      <w:r>
        <w:rPr>
          <w:rFonts w:hint="eastAsia" w:ascii="Times New Roman"/>
          <w:lang w:eastAsia="zh-CN"/>
        </w:rPr>
        <w:t>、</w:t>
      </w:r>
      <w:r>
        <w:rPr>
          <w:rFonts w:hint="eastAsia" w:ascii="Times New Roman"/>
        </w:rPr>
        <w:t>影像学筛查技术</w:t>
      </w:r>
      <w:r>
        <w:rPr>
          <w:rFonts w:hint="eastAsia" w:ascii="Times New Roman"/>
          <w:lang w:eastAsia="zh-CN"/>
        </w:rPr>
        <w:t>、</w:t>
      </w:r>
      <w:r>
        <w:rPr>
          <w:rFonts w:hint="eastAsia" w:ascii="Times New Roman"/>
        </w:rPr>
        <w:t>基层首诊与建档</w:t>
      </w:r>
      <w:r>
        <w:rPr>
          <w:rFonts w:hint="eastAsia" w:ascii="Times New Roman"/>
          <w:lang w:eastAsia="zh-CN"/>
        </w:rPr>
        <w:t>、</w:t>
      </w:r>
      <w:r>
        <w:rPr>
          <w:rFonts w:hint="eastAsia" w:ascii="Times New Roman"/>
        </w:rPr>
        <w:t>风险评估与分层</w:t>
      </w:r>
      <w:r>
        <w:rPr>
          <w:rFonts w:hint="eastAsia" w:ascii="Times New Roman"/>
          <w:lang w:eastAsia="zh-CN"/>
        </w:rPr>
        <w:t>、</w:t>
      </w:r>
      <w:r>
        <w:rPr>
          <w:rFonts w:hint="eastAsia" w:ascii="Times New Roman"/>
        </w:rPr>
        <w:t>动态随访与调整</w:t>
      </w:r>
      <w:r>
        <w:rPr>
          <w:rFonts w:hint="eastAsia" w:ascii="Times New Roman"/>
          <w:lang w:eastAsia="zh-CN"/>
        </w:rPr>
        <w:t>、</w:t>
      </w:r>
      <w:r>
        <w:rPr>
          <w:rFonts w:hint="eastAsia" w:ascii="Times New Roman"/>
        </w:rPr>
        <w:t>转诊机制</w:t>
      </w:r>
      <w:r>
        <w:rPr>
          <w:rFonts w:hint="eastAsia" w:ascii="Times New Roman"/>
          <w:lang w:eastAsia="zh-CN"/>
        </w:rPr>
        <w:t>、</w:t>
      </w:r>
      <w:r>
        <w:rPr>
          <w:rFonts w:hint="eastAsia" w:ascii="Times New Roman"/>
        </w:rPr>
        <w:t>临床路径管理</w:t>
      </w:r>
      <w:r>
        <w:rPr>
          <w:rFonts w:hint="eastAsia" w:ascii="Times New Roman"/>
          <w:lang w:eastAsia="zh-CN"/>
        </w:rPr>
        <w:t>、</w:t>
      </w:r>
      <w:r>
        <w:rPr>
          <w:rFonts w:hint="eastAsia" w:ascii="Times New Roman"/>
        </w:rPr>
        <w:t>中西医结合诊疗</w:t>
      </w:r>
      <w:r>
        <w:rPr>
          <w:rFonts w:hint="eastAsia" w:ascii="Times New Roman"/>
          <w:lang w:eastAsia="zh-CN"/>
        </w:rPr>
        <w:t>、</w:t>
      </w:r>
      <w:r>
        <w:rPr>
          <w:rFonts w:hint="eastAsia" w:ascii="Times New Roman"/>
        </w:rPr>
        <w:t>多学科协作方案</w:t>
      </w:r>
      <w:r>
        <w:rPr>
          <w:rFonts w:hint="eastAsia" w:ascii="Times New Roman"/>
          <w:lang w:eastAsia="zh-CN"/>
        </w:rPr>
        <w:t>、</w:t>
      </w:r>
      <w:r>
        <w:rPr>
          <w:rFonts w:hint="eastAsia" w:ascii="Times New Roman"/>
        </w:rPr>
        <w:t>药物治疗规范</w:t>
      </w:r>
      <w:r>
        <w:rPr>
          <w:rFonts w:hint="eastAsia" w:ascii="Times New Roman"/>
          <w:lang w:eastAsia="zh-CN"/>
        </w:rPr>
        <w:t>、</w:t>
      </w:r>
      <w:r>
        <w:rPr>
          <w:rFonts w:hint="eastAsia" w:ascii="Times New Roman"/>
        </w:rPr>
        <w:t>血运重建与介入治疗</w:t>
      </w:r>
      <w:r>
        <w:rPr>
          <w:rFonts w:hint="eastAsia" w:ascii="Times New Roman"/>
          <w:lang w:eastAsia="zh-CN"/>
        </w:rPr>
        <w:t>、</w:t>
      </w:r>
      <w:r>
        <w:rPr>
          <w:rFonts w:hint="eastAsia" w:ascii="Times New Roman"/>
        </w:rPr>
        <w:t>心脏康复运动训练</w:t>
      </w:r>
      <w:r>
        <w:rPr>
          <w:rFonts w:hint="eastAsia" w:ascii="Times New Roman"/>
          <w:lang w:eastAsia="zh-CN"/>
        </w:rPr>
        <w:t>、</w:t>
      </w:r>
      <w:r>
        <w:rPr>
          <w:rFonts w:hint="eastAsia" w:ascii="Times New Roman"/>
        </w:rPr>
        <w:t>心理支持与情绪管理</w:t>
      </w:r>
      <w:r>
        <w:rPr>
          <w:rFonts w:hint="eastAsia" w:ascii="Times New Roman"/>
          <w:lang w:eastAsia="zh-CN"/>
        </w:rPr>
        <w:t>、</w:t>
      </w:r>
      <w:r>
        <w:rPr>
          <w:rFonts w:hint="eastAsia" w:ascii="Times New Roman"/>
        </w:rPr>
        <w:t>生活方式重塑指导</w:t>
      </w:r>
      <w:r>
        <w:rPr>
          <w:rFonts w:hint="eastAsia" w:ascii="Times New Roman"/>
          <w:lang w:eastAsia="zh-CN"/>
        </w:rPr>
        <w:t>、</w:t>
      </w:r>
      <w:r>
        <w:rPr>
          <w:rFonts w:hint="eastAsia" w:ascii="Times New Roman"/>
        </w:rPr>
        <w:t>居家康养与自我管理</w:t>
      </w:r>
      <w:r>
        <w:rPr>
          <w:rFonts w:hint="eastAsia" w:ascii="Times New Roman"/>
          <w:lang w:eastAsia="zh-CN"/>
        </w:rPr>
        <w:t>、</w:t>
      </w:r>
      <w:r>
        <w:rPr>
          <w:rFonts w:hint="eastAsia" w:ascii="Times New Roman"/>
        </w:rPr>
        <w:t>机构照护与并发症预防</w:t>
      </w:r>
      <w:r>
        <w:rPr>
          <w:rFonts w:hint="eastAsia" w:ascii="Times New Roman"/>
          <w:lang w:eastAsia="zh-CN"/>
        </w:rPr>
        <w:t>、</w:t>
      </w:r>
      <w:r>
        <w:rPr>
          <w:rFonts w:hint="eastAsia" w:ascii="Times New Roman"/>
        </w:rPr>
        <w:t>安宁疗护支持。</w:t>
      </w:r>
    </w:p>
    <w:p w14:paraId="651E4C19">
      <w:pPr>
        <w:spacing w:line="360" w:lineRule="auto"/>
        <w:outlineLvl w:val="9"/>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1.</w:t>
      </w:r>
      <w:r>
        <w:rPr>
          <w:rFonts w:hint="eastAsia" w:ascii="黑体" w:hAnsi="黑体" w:eastAsia="黑体"/>
          <w:color w:val="000000" w:themeColor="text1"/>
          <w:sz w:val="21"/>
          <w:szCs w:val="21"/>
          <w14:textFill>
            <w14:solidFill>
              <w14:schemeClr w14:val="tx1"/>
            </w14:solidFill>
          </w14:textFill>
        </w:rPr>
        <w:t>3 三级</w:t>
      </w:r>
      <w:r>
        <w:rPr>
          <w:rFonts w:hint="eastAsia" w:ascii="黑体" w:hAnsi="黑体" w:eastAsia="黑体"/>
          <w:color w:val="000000" w:themeColor="text1"/>
          <w:sz w:val="21"/>
          <w:szCs w:val="21"/>
          <w:lang w:val="en-US" w:eastAsia="zh-CN"/>
          <w14:textFill>
            <w14:solidFill>
              <w14:schemeClr w14:val="tx1"/>
            </w14:solidFill>
          </w14:textFill>
        </w:rPr>
        <w:t>技术</w:t>
      </w:r>
    </w:p>
    <w:p w14:paraId="1F0DC8FD">
      <w:pPr>
        <w:pStyle w:val="59"/>
        <w:spacing w:line="360" w:lineRule="auto"/>
        <w:ind w:firstLine="420"/>
        <w:outlineLvl w:val="9"/>
        <w:rPr>
          <w:rFonts w:ascii="Times New Roman"/>
        </w:rPr>
      </w:pPr>
      <w:r>
        <w:rPr>
          <w:rFonts w:hint="eastAsia" w:ascii="Times New Roman"/>
          <w:lang w:val="en-US" w:eastAsia="zh-CN"/>
        </w:rPr>
        <w:t>冠心病服务</w:t>
      </w:r>
      <w:r>
        <w:rPr>
          <w:rFonts w:hint="eastAsia" w:ascii="Times New Roman"/>
        </w:rPr>
        <w:t>共</w:t>
      </w:r>
      <w:r>
        <w:rPr>
          <w:rFonts w:hint="eastAsia" w:ascii="Times New Roman"/>
          <w:lang w:val="en-US" w:eastAsia="zh-CN"/>
        </w:rPr>
        <w:t>包括</w:t>
      </w:r>
      <w:r>
        <w:rPr>
          <w:rFonts w:hint="eastAsia" w:ascii="Times New Roman"/>
        </w:rPr>
        <w:t>3</w:t>
      </w:r>
      <w:r>
        <w:rPr>
          <w:rFonts w:hint="eastAsia" w:ascii="Times New Roman"/>
          <w:lang w:val="en-US" w:eastAsia="zh-CN"/>
        </w:rPr>
        <w:t>4</w:t>
      </w:r>
      <w:r>
        <w:rPr>
          <w:rFonts w:hint="eastAsia" w:ascii="Times New Roman"/>
        </w:rPr>
        <w:t>个三级</w:t>
      </w:r>
      <w:r>
        <w:rPr>
          <w:rFonts w:hint="eastAsia" w:ascii="Times New Roman"/>
          <w:lang w:val="en-US" w:eastAsia="zh-CN"/>
        </w:rPr>
        <w:t>技术</w:t>
      </w:r>
      <w:r>
        <w:rPr>
          <w:rFonts w:hint="eastAsia" w:ascii="Times New Roman"/>
        </w:rPr>
        <w:t>。具体内容见表1。</w:t>
      </w:r>
    </w:p>
    <w:p w14:paraId="4C45CCF8">
      <w:pPr>
        <w:pStyle w:val="59"/>
        <w:spacing w:line="360" w:lineRule="auto"/>
        <w:ind w:firstLine="422"/>
        <w:jc w:val="center"/>
        <w:outlineLvl w:val="9"/>
        <w:rPr>
          <w:rFonts w:hint="default" w:ascii="Times New Roman" w:eastAsia="宋体"/>
          <w:b/>
          <w:bCs/>
          <w:lang w:val="en-US" w:eastAsia="zh-CN"/>
        </w:rPr>
      </w:pPr>
      <w:r>
        <w:rPr>
          <w:rFonts w:hint="eastAsia" w:ascii="Times New Roman"/>
          <w:b/>
          <w:bCs/>
        </w:rPr>
        <w:t xml:space="preserve">表 1  </w:t>
      </w:r>
      <w:r>
        <w:rPr>
          <w:rFonts w:hint="eastAsia" w:ascii="Times New Roman"/>
          <w:b/>
          <w:bCs/>
          <w:lang w:val="en-US" w:eastAsia="zh-CN"/>
        </w:rPr>
        <w:t>冠心病“防、筛、管、治、康、护”服务技术标准体系</w:t>
      </w:r>
    </w:p>
    <w:tbl>
      <w:tblPr>
        <w:tblStyle w:val="21"/>
        <w:tblW w:w="502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76"/>
        <w:gridCol w:w="2559"/>
        <w:gridCol w:w="5043"/>
      </w:tblGrid>
      <w:tr w14:paraId="7D459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tcBorders>
              <w:top w:val="single" w:color="000000" w:sz="12" w:space="0"/>
              <w:left w:val="nil"/>
              <w:bottom w:val="single" w:color="000000" w:sz="4" w:space="0"/>
              <w:right w:val="nil"/>
              <w:tl2br w:val="nil"/>
            </w:tcBorders>
            <w:shd w:val="clear" w:color="auto" w:fill="FFFFFF"/>
            <w:vAlign w:val="top"/>
          </w:tcPr>
          <w:p w14:paraId="3E8CA18F">
            <w:pPr>
              <w:keepNext w:val="0"/>
              <w:keepLines w:val="0"/>
              <w:widowControl/>
              <w:suppressLineNumbers w:val="0"/>
              <w:jc w:val="center"/>
              <w:textAlignment w:val="center"/>
              <w:outlineLvl w:val="9"/>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一级</w:t>
            </w:r>
            <w:r>
              <w:rPr>
                <w:rFonts w:hint="eastAsia" w:ascii="宋体" w:hAnsi="宋体" w:cs="宋体"/>
                <w:b/>
                <w:bCs/>
                <w:i w:val="0"/>
                <w:iCs w:val="0"/>
                <w:color w:val="000000"/>
                <w:kern w:val="0"/>
                <w:sz w:val="21"/>
                <w:szCs w:val="21"/>
                <w:u w:val="none"/>
                <w:lang w:val="en-US" w:eastAsia="zh-CN" w:bidi="ar"/>
              </w:rPr>
              <w:t>技术</w:t>
            </w:r>
          </w:p>
        </w:tc>
        <w:tc>
          <w:tcPr>
            <w:tcW w:w="1379" w:type="pct"/>
            <w:tcBorders>
              <w:top w:val="single" w:color="000000" w:sz="12" w:space="0"/>
              <w:left w:val="nil"/>
              <w:bottom w:val="single" w:color="000000" w:sz="4" w:space="0"/>
              <w:right w:val="nil"/>
            </w:tcBorders>
            <w:shd w:val="clear" w:color="auto" w:fill="FFFFFF"/>
            <w:vAlign w:val="top"/>
          </w:tcPr>
          <w:p w14:paraId="73BB793A">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二级技术</w:t>
            </w:r>
          </w:p>
        </w:tc>
        <w:tc>
          <w:tcPr>
            <w:tcW w:w="2717" w:type="pct"/>
            <w:tcBorders>
              <w:top w:val="single" w:color="000000" w:sz="12" w:space="0"/>
              <w:left w:val="nil"/>
              <w:bottom w:val="single" w:color="000000" w:sz="4" w:space="0"/>
              <w:right w:val="nil"/>
            </w:tcBorders>
            <w:shd w:val="clear" w:color="auto" w:fill="FFFFFF"/>
            <w:vAlign w:val="top"/>
          </w:tcPr>
          <w:p w14:paraId="2F4DDB34">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三级技术</w:t>
            </w:r>
          </w:p>
        </w:tc>
      </w:tr>
      <w:tr w14:paraId="0AE87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restart"/>
            <w:tcBorders>
              <w:top w:val="single" w:color="000000" w:sz="4" w:space="0"/>
              <w:left w:val="nil"/>
              <w:right w:val="nil"/>
            </w:tcBorders>
            <w:shd w:val="clear" w:color="auto" w:fill="FFFFFF"/>
            <w:vAlign w:val="top"/>
          </w:tcPr>
          <w:p w14:paraId="380D90F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 预防干预</w:t>
            </w:r>
          </w:p>
        </w:tc>
        <w:tc>
          <w:tcPr>
            <w:tcW w:w="1379" w:type="pct"/>
            <w:vMerge w:val="restart"/>
            <w:tcBorders>
              <w:top w:val="single" w:color="000000" w:sz="4" w:space="0"/>
              <w:left w:val="nil"/>
              <w:bottom w:val="nil"/>
              <w:right w:val="nil"/>
            </w:tcBorders>
            <w:shd w:val="clear" w:color="auto" w:fill="FFFFFF"/>
            <w:vAlign w:val="top"/>
          </w:tcPr>
          <w:p w14:paraId="6151B81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 健康教育</w:t>
            </w:r>
          </w:p>
        </w:tc>
        <w:tc>
          <w:tcPr>
            <w:tcW w:w="2717" w:type="pct"/>
            <w:tcBorders>
              <w:top w:val="single" w:color="000000" w:sz="4" w:space="0"/>
              <w:left w:val="nil"/>
              <w:bottom w:val="nil"/>
              <w:right w:val="nil"/>
            </w:tcBorders>
            <w:shd w:val="clear" w:color="auto" w:fill="FFFFFF"/>
            <w:vAlign w:val="top"/>
          </w:tcPr>
          <w:p w14:paraId="5CD7A2D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1.1.1 核心知识普及</w:t>
            </w:r>
            <w:r>
              <w:rPr>
                <w:rStyle w:val="80"/>
                <w:rFonts w:hint="default" w:ascii="Times New Roman" w:hAnsi="Times New Roman" w:eastAsia="宋体" w:cs="Times New Roman"/>
                <w:b w:val="0"/>
                <w:color w:val="000000"/>
                <w:sz w:val="21"/>
                <w:szCs w:val="21"/>
                <w:lang w:val="en-US" w:eastAsia="zh-CN" w:bidi="ar"/>
              </w:rPr>
              <w:t>：向全人群及高危人群传播冠心病病因、危险因素、典型症状及应急处理知识。</w:t>
            </w:r>
          </w:p>
        </w:tc>
      </w:tr>
      <w:tr w14:paraId="1C87C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7311B8D6">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5DD73FD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6D4B529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1.1.2 健康生活倡导</w:t>
            </w:r>
            <w:r>
              <w:rPr>
                <w:rStyle w:val="80"/>
                <w:rFonts w:hint="default" w:ascii="Times New Roman" w:hAnsi="Times New Roman" w:eastAsia="宋体" w:cs="Times New Roman"/>
                <w:b w:val="0"/>
                <w:color w:val="000000"/>
                <w:sz w:val="21"/>
                <w:szCs w:val="21"/>
                <w:lang w:val="en-US" w:eastAsia="zh-CN" w:bidi="ar"/>
              </w:rPr>
              <w:t>：通过多种媒介倡导维持健康体重、积极心态、规律运动与均衡膳食。</w:t>
            </w:r>
          </w:p>
        </w:tc>
      </w:tr>
      <w:tr w14:paraId="6A4A3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0D496583">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586AD9B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 危险因素控制</w:t>
            </w:r>
          </w:p>
        </w:tc>
        <w:tc>
          <w:tcPr>
            <w:tcW w:w="2717" w:type="pct"/>
            <w:tcBorders>
              <w:top w:val="nil"/>
              <w:left w:val="nil"/>
              <w:bottom w:val="nil"/>
              <w:right w:val="nil"/>
            </w:tcBorders>
            <w:shd w:val="clear" w:color="auto" w:fill="FFFFFF"/>
            <w:vAlign w:val="top"/>
          </w:tcPr>
          <w:p w14:paraId="594BE35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1.2.1 零级预防（全人群）</w:t>
            </w:r>
            <w:r>
              <w:rPr>
                <w:rStyle w:val="80"/>
                <w:rFonts w:hint="default" w:ascii="Times New Roman" w:hAnsi="Times New Roman" w:eastAsia="宋体" w:cs="Times New Roman"/>
                <w:b w:val="0"/>
                <w:color w:val="000000"/>
                <w:sz w:val="21"/>
                <w:szCs w:val="21"/>
                <w:lang w:val="en-US" w:eastAsia="zh-CN" w:bidi="ar"/>
              </w:rPr>
              <w:t>：促进全民心血管健康，在疾病风险出现前构建健康基础</w:t>
            </w:r>
            <w:r>
              <w:rPr>
                <w:rStyle w:val="80"/>
                <w:rFonts w:hint="default" w:ascii="Times New Roman" w:hAnsi="Times New Roman" w:cs="Times New Roman"/>
                <w:b w:val="0"/>
                <w:color w:val="000000"/>
                <w:sz w:val="21"/>
                <w:szCs w:val="21"/>
                <w:lang w:val="en-US" w:eastAsia="zh-CN" w:bidi="ar"/>
              </w:rPr>
              <w:t>，主要包括：</w:t>
            </w:r>
            <w:r>
              <w:rPr>
                <w:rFonts w:hint="default" w:ascii="Times New Roman" w:hAnsi="Times New Roman" w:eastAsia="宋体" w:cs="Times New Roman"/>
                <w:sz w:val="24"/>
                <w:szCs w:val="24"/>
                <w:lang w:val="en-US" w:eastAsia="zh-CN"/>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a) 早期识别风险，如收集早发心血管病家族史信息。</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b) 倡导并维持健康体重。</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c) 培养积极的心理状态与良好的行为习惯。</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d) 减少有害环境暴露。</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e) 全面禁止吸烟并避免被动吸烟。</w:t>
            </w:r>
            <w:r>
              <w:rPr>
                <w:rFonts w:hint="default" w:ascii="Times New Roman" w:hAnsi="Times New Roman" w:eastAsia="宋体" w:cs="Times New Roman"/>
                <w:b w:val="0"/>
                <w:i w:val="0"/>
                <w:iCs w:val="0"/>
                <w:color w:val="000000"/>
                <w:kern w:val="0"/>
                <w:sz w:val="21"/>
                <w:szCs w:val="21"/>
                <w:u w:val="none"/>
                <w:lang w:val="en-US" w:eastAsia="zh-CN" w:bidi="ar"/>
              </w:rPr>
              <w:br w:type="textWrapping"/>
            </w:r>
            <w:r>
              <w:rPr>
                <w:rFonts w:hint="default" w:ascii="Times New Roman" w:hAnsi="Times New Roman" w:eastAsia="宋体" w:cs="Times New Roman"/>
                <w:b w:val="0"/>
                <w:i w:val="0"/>
                <w:iCs w:val="0"/>
                <w:color w:val="000000"/>
                <w:kern w:val="0"/>
                <w:sz w:val="21"/>
                <w:szCs w:val="21"/>
                <w:u w:val="none"/>
                <w:lang w:val="en-US" w:eastAsia="zh-CN" w:bidi="ar"/>
              </w:rPr>
              <w:t xml:space="preserve"> f) 坚持规律的科学运动与均衡的健康膳食模式。</w:t>
            </w:r>
          </w:p>
        </w:tc>
      </w:tr>
      <w:tr w14:paraId="6E5EC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13EA789">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6F86A098">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3AEC692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1.2.2 一级预防（高危人群）</w:t>
            </w:r>
            <w:r>
              <w:rPr>
                <w:rStyle w:val="80"/>
                <w:rFonts w:hint="default" w:ascii="Times New Roman" w:hAnsi="Times New Roman" w:eastAsia="宋体" w:cs="Times New Roman"/>
                <w:b w:val="0"/>
                <w:color w:val="000000"/>
                <w:sz w:val="21"/>
                <w:szCs w:val="21"/>
                <w:lang w:val="en-US" w:eastAsia="zh-CN" w:bidi="ar"/>
              </w:rPr>
              <w:t>：对具有危险因素但未发病的个体，实施系统性的生活方式干预，包括合理饮食、规律运动、彻底戒烟及限制饮酒。</w:t>
            </w:r>
          </w:p>
        </w:tc>
      </w:tr>
      <w:tr w14:paraId="7683D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37D3B817">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6B8597D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584355E9">
            <w:pPr>
              <w:keepNext w:val="0"/>
              <w:keepLines w:val="0"/>
              <w:widowControl/>
              <w:suppressLineNumbers w:val="0"/>
              <w:jc w:val="both"/>
              <w:textAlignment w:val="center"/>
              <w:outlineLvl w:val="9"/>
              <w:rPr>
                <w:rStyle w:val="80"/>
                <w:rFonts w:hint="default" w:ascii="Times New Roman" w:hAnsi="Times New Roman" w:eastAsia="宋体" w:cs="Times New Roman"/>
                <w:b w:val="0"/>
                <w:color w:val="000000"/>
                <w:sz w:val="21"/>
                <w:szCs w:val="21"/>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1.2.3 二级预防（已病患者）</w:t>
            </w:r>
            <w:r>
              <w:rPr>
                <w:rStyle w:val="80"/>
                <w:rFonts w:hint="default" w:ascii="Times New Roman" w:hAnsi="Times New Roman" w:eastAsia="宋体" w:cs="Times New Roman"/>
                <w:b w:val="0"/>
                <w:color w:val="000000"/>
                <w:sz w:val="21"/>
                <w:szCs w:val="21"/>
                <w:lang w:val="en-US" w:eastAsia="zh-CN" w:bidi="ar"/>
              </w:rPr>
              <w:t>：遵循ABCDE原则对患者进行强化干预。</w:t>
            </w:r>
          </w:p>
          <w:p w14:paraId="63B38249">
            <w:pPr>
              <w:keepNext w:val="0"/>
              <w:keepLines w:val="0"/>
              <w:widowControl/>
              <w:suppressLineNumbers w:val="0"/>
              <w:jc w:val="both"/>
              <w:textAlignment w:val="center"/>
              <w:outlineLvl w:val="9"/>
              <w:rPr>
                <w:rStyle w:val="80"/>
                <w:rFonts w:hint="default" w:ascii="Times New Roman" w:hAnsi="Times New Roman" w:eastAsia="宋体" w:cs="Times New Roman"/>
                <w:b w:val="0"/>
                <w:color w:val="000000"/>
                <w:sz w:val="21"/>
                <w:szCs w:val="21"/>
                <w:lang w:val="en-US" w:eastAsia="zh-CN" w:bidi="ar"/>
              </w:rPr>
            </w:pPr>
            <w:r>
              <w:rPr>
                <w:rStyle w:val="80"/>
                <w:rFonts w:hint="default" w:ascii="Times New Roman" w:hAnsi="Times New Roman" w:eastAsia="宋体" w:cs="Times New Roman"/>
                <w:b w:val="0"/>
                <w:color w:val="000000"/>
                <w:sz w:val="21"/>
                <w:szCs w:val="21"/>
                <w:lang w:val="en-US" w:eastAsia="zh-CN" w:bidi="ar"/>
              </w:rPr>
              <w:t>A：遵医嘱应用阿司匹林进行抗血小板治疗，并使用血管紧张素转换酶抑制剂等药物。</w:t>
            </w:r>
          </w:p>
          <w:p w14:paraId="33B448CC">
            <w:pPr>
              <w:keepNext w:val="0"/>
              <w:keepLines w:val="0"/>
              <w:widowControl/>
              <w:suppressLineNumbers w:val="0"/>
              <w:jc w:val="both"/>
              <w:textAlignment w:val="center"/>
              <w:outlineLvl w:val="9"/>
              <w:rPr>
                <w:rStyle w:val="80"/>
                <w:rFonts w:hint="default" w:ascii="Times New Roman" w:hAnsi="Times New Roman" w:eastAsia="宋体" w:cs="Times New Roman"/>
                <w:b w:val="0"/>
                <w:color w:val="000000"/>
                <w:sz w:val="21"/>
                <w:szCs w:val="21"/>
                <w:lang w:val="en-US" w:eastAsia="zh-CN" w:bidi="ar"/>
              </w:rPr>
            </w:pPr>
            <w:r>
              <w:rPr>
                <w:rStyle w:val="80"/>
                <w:rFonts w:hint="default" w:ascii="Times New Roman" w:hAnsi="Times New Roman" w:eastAsia="宋体" w:cs="Times New Roman"/>
                <w:b w:val="0"/>
                <w:color w:val="000000"/>
                <w:sz w:val="21"/>
                <w:szCs w:val="21"/>
                <w:lang w:val="en-US" w:eastAsia="zh-CN" w:bidi="ar"/>
              </w:rPr>
              <w:t>B：应用β受体阻滞剂，并将血压控制在130/80 mmHg以下。</w:t>
            </w:r>
          </w:p>
          <w:p w14:paraId="68A72912">
            <w:pPr>
              <w:keepNext w:val="0"/>
              <w:keepLines w:val="0"/>
              <w:widowControl/>
              <w:suppressLineNumbers w:val="0"/>
              <w:jc w:val="both"/>
              <w:textAlignment w:val="center"/>
              <w:outlineLvl w:val="9"/>
              <w:rPr>
                <w:rStyle w:val="80"/>
                <w:rFonts w:hint="default" w:ascii="Times New Roman" w:hAnsi="Times New Roman" w:eastAsia="宋体" w:cs="Times New Roman"/>
                <w:b w:val="0"/>
                <w:color w:val="000000"/>
                <w:sz w:val="21"/>
                <w:szCs w:val="21"/>
                <w:lang w:val="en-US" w:eastAsia="zh-CN" w:bidi="ar"/>
              </w:rPr>
            </w:pPr>
            <w:r>
              <w:rPr>
                <w:rStyle w:val="80"/>
                <w:rFonts w:hint="default" w:ascii="Times New Roman" w:hAnsi="Times New Roman" w:eastAsia="宋体" w:cs="Times New Roman"/>
                <w:b w:val="0"/>
                <w:color w:val="000000"/>
                <w:sz w:val="21"/>
                <w:szCs w:val="21"/>
                <w:lang w:val="en-US" w:eastAsia="zh-CN" w:bidi="ar"/>
              </w:rPr>
              <w:t>C：必须彻底戒烟，并将低密度脂蛋白胆固醇控制在1.8 mmol/L以下。</w:t>
            </w:r>
          </w:p>
          <w:p w14:paraId="3EA2C86C">
            <w:pPr>
              <w:keepNext w:val="0"/>
              <w:keepLines w:val="0"/>
              <w:widowControl/>
              <w:suppressLineNumbers w:val="0"/>
              <w:jc w:val="both"/>
              <w:textAlignment w:val="center"/>
              <w:outlineLvl w:val="9"/>
              <w:rPr>
                <w:rStyle w:val="80"/>
                <w:rFonts w:hint="default" w:ascii="Times New Roman" w:hAnsi="Times New Roman" w:eastAsia="宋体" w:cs="Times New Roman"/>
                <w:b w:val="0"/>
                <w:color w:val="000000"/>
                <w:sz w:val="21"/>
                <w:szCs w:val="21"/>
                <w:lang w:val="en-US" w:eastAsia="zh-CN" w:bidi="ar"/>
              </w:rPr>
            </w:pPr>
            <w:r>
              <w:rPr>
                <w:rStyle w:val="80"/>
                <w:rFonts w:hint="default" w:ascii="Times New Roman" w:hAnsi="Times New Roman" w:eastAsia="宋体" w:cs="Times New Roman"/>
                <w:b w:val="0"/>
                <w:color w:val="000000"/>
                <w:sz w:val="21"/>
                <w:szCs w:val="21"/>
                <w:lang w:val="en-US" w:eastAsia="zh-CN" w:bidi="ar"/>
              </w:rPr>
              <w:t>D：严格控制血糖，并坚持均衡饮食，减少高热量、高脂肪食物的摄入。</w:t>
            </w:r>
          </w:p>
          <w:p w14:paraId="5805E393">
            <w:pPr>
              <w:keepNext w:val="0"/>
              <w:keepLines w:val="0"/>
              <w:widowControl/>
              <w:suppressLineNumbers w:val="0"/>
              <w:jc w:val="both"/>
              <w:textAlignment w:val="center"/>
              <w:outlineLvl w:val="9"/>
              <w:rPr>
                <w:rStyle w:val="80"/>
                <w:rFonts w:hint="default" w:ascii="Times New Roman" w:hAnsi="Times New Roman" w:eastAsia="宋体" w:cs="Times New Roman"/>
                <w:b w:val="0"/>
                <w:color w:val="000000"/>
                <w:sz w:val="21"/>
                <w:szCs w:val="21"/>
                <w:lang w:val="en-US" w:eastAsia="zh-CN" w:bidi="ar"/>
              </w:rPr>
            </w:pPr>
            <w:r>
              <w:rPr>
                <w:rStyle w:val="80"/>
                <w:rFonts w:hint="default" w:ascii="Times New Roman" w:hAnsi="Times New Roman" w:eastAsia="宋体" w:cs="Times New Roman"/>
                <w:b w:val="0"/>
                <w:color w:val="000000"/>
                <w:sz w:val="21"/>
                <w:szCs w:val="21"/>
                <w:lang w:val="en-US" w:eastAsia="zh-CN" w:bidi="ar"/>
              </w:rPr>
              <w:t>E：在专业指导下进行循序渐进的运动，并通过教育使患者掌握冠心病基本知识及药物应用常识。</w:t>
            </w:r>
          </w:p>
        </w:tc>
      </w:tr>
      <w:tr w14:paraId="12594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14476E7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 早期筛查</w:t>
            </w:r>
          </w:p>
        </w:tc>
        <w:tc>
          <w:tcPr>
            <w:tcW w:w="1379" w:type="pct"/>
            <w:tcBorders>
              <w:top w:val="nil"/>
              <w:left w:val="nil"/>
              <w:bottom w:val="nil"/>
              <w:right w:val="nil"/>
            </w:tcBorders>
            <w:shd w:val="clear" w:color="auto" w:fill="FFFFFF"/>
            <w:vAlign w:val="top"/>
          </w:tcPr>
          <w:p w14:paraId="42FBE2A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 高危人群识别</w:t>
            </w:r>
          </w:p>
        </w:tc>
        <w:tc>
          <w:tcPr>
            <w:tcW w:w="2717" w:type="pct"/>
            <w:tcBorders>
              <w:top w:val="nil"/>
              <w:left w:val="nil"/>
              <w:bottom w:val="nil"/>
              <w:right w:val="nil"/>
            </w:tcBorders>
            <w:shd w:val="clear" w:color="auto" w:fill="FFFFFF"/>
            <w:vAlign w:val="top"/>
          </w:tcPr>
          <w:p w14:paraId="43C14C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2.1.1 风险信息收集</w:t>
            </w:r>
            <w:r>
              <w:rPr>
                <w:rStyle w:val="80"/>
                <w:rFonts w:hint="default" w:ascii="Times New Roman" w:hAnsi="Times New Roman" w:eastAsia="宋体" w:cs="Times New Roman"/>
                <w:b w:val="0"/>
                <w:color w:val="000000"/>
                <w:sz w:val="21"/>
                <w:szCs w:val="21"/>
                <w:lang w:val="en-US" w:eastAsia="zh-CN" w:bidi="ar"/>
              </w:rPr>
              <w:t>：通过问卷系统收集个人史、家族史及既往疾病史。</w:t>
            </w:r>
          </w:p>
        </w:tc>
      </w:tr>
      <w:tr w14:paraId="4858C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05B205D">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1DF037C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 标准化筛查工具</w:t>
            </w:r>
          </w:p>
        </w:tc>
        <w:tc>
          <w:tcPr>
            <w:tcW w:w="2717" w:type="pct"/>
            <w:tcBorders>
              <w:top w:val="nil"/>
              <w:left w:val="nil"/>
              <w:bottom w:val="nil"/>
              <w:right w:val="nil"/>
            </w:tcBorders>
            <w:shd w:val="clear" w:color="auto" w:fill="FFFFFF"/>
            <w:vAlign w:val="top"/>
          </w:tcPr>
          <w:p w14:paraId="24C0CB0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2.2.1 风险初筛问卷</w:t>
            </w:r>
            <w:r>
              <w:rPr>
                <w:rStyle w:val="80"/>
                <w:rFonts w:hint="default" w:ascii="Times New Roman" w:hAnsi="Times New Roman" w:eastAsia="宋体" w:cs="Times New Roman"/>
                <w:b w:val="0"/>
                <w:color w:val="000000"/>
                <w:sz w:val="21"/>
                <w:szCs w:val="21"/>
                <w:lang w:val="en-US" w:eastAsia="zh-CN" w:bidi="ar"/>
              </w:rPr>
              <w:t>：使用标准化综合自测问卷进行初步风险分层。</w:t>
            </w:r>
          </w:p>
        </w:tc>
      </w:tr>
      <w:tr w14:paraId="4037A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4DB3B01">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25D1802">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0268DD2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2.2.2 量化风险评估</w:t>
            </w:r>
            <w:r>
              <w:rPr>
                <w:rStyle w:val="80"/>
                <w:rFonts w:hint="default" w:ascii="Times New Roman" w:hAnsi="Times New Roman" w:eastAsia="宋体" w:cs="Times New Roman"/>
                <w:b w:val="0"/>
                <w:color w:val="000000"/>
                <w:sz w:val="21"/>
                <w:szCs w:val="21"/>
                <w:lang w:val="en-US" w:eastAsia="zh-CN" w:bidi="ar"/>
              </w:rPr>
              <w:t>：应用验证过的风险评估模型（如PREVENT）进行10年风险量化评估。</w:t>
            </w:r>
          </w:p>
        </w:tc>
      </w:tr>
      <w:tr w14:paraId="4758B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226C825A">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45C0C20">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0B1E22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2.2.3 核心指标筛查</w:t>
            </w:r>
            <w:r>
              <w:rPr>
                <w:rStyle w:val="80"/>
                <w:rFonts w:hint="default" w:ascii="Times New Roman" w:hAnsi="Times New Roman" w:eastAsia="宋体" w:cs="Times New Roman"/>
                <w:b w:val="0"/>
                <w:color w:val="000000"/>
                <w:sz w:val="21"/>
                <w:szCs w:val="21"/>
                <w:lang w:val="en-US" w:eastAsia="zh-CN" w:bidi="ar"/>
              </w:rPr>
              <w:t>：a) 定期血压测量；b) 规律血脂检测；c) 常规血糖检测。</w:t>
            </w:r>
          </w:p>
        </w:tc>
      </w:tr>
      <w:tr w14:paraId="712C0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1958BE0A">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0C3F326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 影像学筛查技术</w:t>
            </w:r>
          </w:p>
        </w:tc>
        <w:tc>
          <w:tcPr>
            <w:tcW w:w="2717" w:type="pct"/>
            <w:tcBorders>
              <w:top w:val="nil"/>
              <w:left w:val="nil"/>
              <w:bottom w:val="nil"/>
              <w:right w:val="nil"/>
            </w:tcBorders>
            <w:shd w:val="clear" w:color="auto" w:fill="FFFFFF"/>
            <w:vAlign w:val="top"/>
          </w:tcPr>
          <w:p w14:paraId="07FC5E7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2.3.1 颈动脉超声</w:t>
            </w:r>
            <w:r>
              <w:rPr>
                <w:rStyle w:val="80"/>
                <w:rFonts w:hint="default" w:ascii="Times New Roman" w:hAnsi="Times New Roman" w:eastAsia="宋体" w:cs="Times New Roman"/>
                <w:b w:val="0"/>
                <w:color w:val="000000"/>
                <w:sz w:val="21"/>
                <w:szCs w:val="21"/>
                <w:lang w:val="en-US" w:eastAsia="zh-CN" w:bidi="ar"/>
              </w:rPr>
              <w:t>：评估颈动脉内膜中层厚度（IMT）及斑块情况。</w:t>
            </w:r>
          </w:p>
        </w:tc>
      </w:tr>
      <w:tr w14:paraId="4460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06C22F93">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2C4564FF">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4CDADC8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2.3.2 心脏超声</w:t>
            </w:r>
            <w:r>
              <w:rPr>
                <w:rStyle w:val="80"/>
                <w:rFonts w:hint="default" w:ascii="Times New Roman" w:hAnsi="Times New Roman" w:eastAsia="宋体" w:cs="Times New Roman"/>
                <w:b w:val="0"/>
                <w:color w:val="000000"/>
                <w:sz w:val="21"/>
                <w:szCs w:val="21"/>
                <w:lang w:val="en-US" w:eastAsia="zh-CN" w:bidi="ar"/>
              </w:rPr>
              <w:t>：评估心脏结构与功能，特别是心室功能。</w:t>
            </w:r>
          </w:p>
        </w:tc>
      </w:tr>
      <w:tr w14:paraId="574D7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39DA5B21">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7A809C3">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5A768DD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2.3.3 心电图检查</w:t>
            </w:r>
            <w:r>
              <w:rPr>
                <w:rStyle w:val="80"/>
                <w:rFonts w:hint="default" w:ascii="Times New Roman" w:hAnsi="Times New Roman" w:eastAsia="宋体" w:cs="Times New Roman"/>
                <w:b w:val="0"/>
                <w:color w:val="000000"/>
                <w:sz w:val="21"/>
                <w:szCs w:val="21"/>
                <w:lang w:val="en-US" w:eastAsia="zh-CN" w:bidi="ar"/>
              </w:rPr>
              <w:t>：用于静息状态筛查及有症状时的及时检查。</w:t>
            </w:r>
          </w:p>
        </w:tc>
      </w:tr>
      <w:tr w14:paraId="0C60F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496F1AB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 分级管理</w:t>
            </w:r>
          </w:p>
        </w:tc>
        <w:tc>
          <w:tcPr>
            <w:tcW w:w="1379" w:type="pct"/>
            <w:vMerge w:val="restart"/>
            <w:tcBorders>
              <w:top w:val="nil"/>
              <w:left w:val="nil"/>
              <w:bottom w:val="nil"/>
              <w:right w:val="nil"/>
            </w:tcBorders>
            <w:shd w:val="clear" w:color="auto" w:fill="FFFFFF"/>
            <w:vAlign w:val="top"/>
          </w:tcPr>
          <w:p w14:paraId="121D996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 基层首诊与建档</w:t>
            </w:r>
          </w:p>
        </w:tc>
        <w:tc>
          <w:tcPr>
            <w:tcW w:w="2717" w:type="pct"/>
            <w:tcBorders>
              <w:top w:val="nil"/>
              <w:left w:val="nil"/>
              <w:bottom w:val="nil"/>
              <w:right w:val="nil"/>
            </w:tcBorders>
            <w:shd w:val="clear" w:color="auto" w:fill="FFFFFF"/>
            <w:vAlign w:val="top"/>
          </w:tcPr>
          <w:p w14:paraId="0BA6055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3.1.1 居民健康档案</w:t>
            </w:r>
            <w:r>
              <w:rPr>
                <w:rStyle w:val="80"/>
                <w:rFonts w:hint="default" w:ascii="Times New Roman" w:hAnsi="Times New Roman" w:eastAsia="宋体" w:cs="Times New Roman"/>
                <w:b w:val="0"/>
                <w:color w:val="000000"/>
                <w:sz w:val="21"/>
                <w:szCs w:val="21"/>
                <w:lang w:val="en-US" w:eastAsia="zh-CN" w:bidi="ar"/>
              </w:rPr>
              <w:t>：建立统一、连续的健康档案。</w:t>
            </w:r>
          </w:p>
        </w:tc>
      </w:tr>
      <w:tr w14:paraId="262B5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7E98BF27">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0A192CC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6653F3E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3.1.2 高危人群建档</w:t>
            </w:r>
            <w:r>
              <w:rPr>
                <w:rStyle w:val="80"/>
                <w:rFonts w:hint="default" w:ascii="Times New Roman" w:hAnsi="Times New Roman" w:eastAsia="宋体" w:cs="Times New Roman"/>
                <w:b w:val="0"/>
                <w:color w:val="000000"/>
                <w:sz w:val="21"/>
                <w:szCs w:val="21"/>
                <w:lang w:val="en-US" w:eastAsia="zh-CN" w:bidi="ar"/>
              </w:rPr>
              <w:t>：对筛查出的高危人群建立专项管理档案。</w:t>
            </w:r>
          </w:p>
        </w:tc>
      </w:tr>
      <w:tr w14:paraId="7D981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70D8DF79">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3774795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 风险评估与分层</w:t>
            </w:r>
          </w:p>
        </w:tc>
        <w:tc>
          <w:tcPr>
            <w:tcW w:w="2717" w:type="pct"/>
            <w:tcBorders>
              <w:top w:val="nil"/>
              <w:left w:val="nil"/>
              <w:bottom w:val="nil"/>
              <w:right w:val="nil"/>
            </w:tcBorders>
            <w:shd w:val="clear" w:color="auto" w:fill="FFFFFF"/>
            <w:vAlign w:val="top"/>
          </w:tcPr>
          <w:p w14:paraId="704F3C1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3.2.1 风险等级判定</w:t>
            </w:r>
            <w:r>
              <w:rPr>
                <w:rStyle w:val="80"/>
                <w:rFonts w:hint="default" w:ascii="Times New Roman" w:hAnsi="Times New Roman" w:eastAsia="宋体" w:cs="Times New Roman"/>
                <w:b w:val="0"/>
                <w:color w:val="000000"/>
                <w:sz w:val="21"/>
                <w:szCs w:val="21"/>
                <w:lang w:val="en-US" w:eastAsia="zh-CN" w:bidi="ar"/>
              </w:rPr>
              <w:t>：基于筛查和评估模型，将管理对象分为低危、中危、高危。</w:t>
            </w:r>
          </w:p>
        </w:tc>
      </w:tr>
      <w:tr w14:paraId="0CBAC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48B7364B">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0F75B0E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3.3 动态随访与调整</w:t>
            </w:r>
          </w:p>
        </w:tc>
        <w:tc>
          <w:tcPr>
            <w:tcW w:w="2717" w:type="pct"/>
            <w:tcBorders>
              <w:top w:val="nil"/>
              <w:left w:val="nil"/>
              <w:bottom w:val="nil"/>
              <w:right w:val="nil"/>
            </w:tcBorders>
            <w:shd w:val="clear" w:color="auto" w:fill="FFFFFF"/>
            <w:vAlign w:val="top"/>
          </w:tcPr>
          <w:p w14:paraId="4EAEEC9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3.3.1 定期评估</w:t>
            </w:r>
            <w:r>
              <w:rPr>
                <w:rStyle w:val="80"/>
                <w:rFonts w:hint="default" w:ascii="Times New Roman" w:hAnsi="Times New Roman" w:eastAsia="宋体" w:cs="Times New Roman"/>
                <w:b w:val="0"/>
                <w:color w:val="000000"/>
                <w:sz w:val="21"/>
                <w:szCs w:val="21"/>
                <w:lang w:val="en-US" w:eastAsia="zh-CN" w:bidi="ar"/>
              </w:rPr>
              <w:t>：定期随访血压、血脂、血糖、生活方式及用药情况。</w:t>
            </w:r>
          </w:p>
        </w:tc>
      </w:tr>
      <w:tr w14:paraId="0982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276902D">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3DC714CA">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489B76A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3.3.2 方案调整</w:t>
            </w:r>
            <w:r>
              <w:rPr>
                <w:rStyle w:val="80"/>
                <w:rFonts w:hint="default" w:ascii="Times New Roman" w:hAnsi="Times New Roman" w:eastAsia="宋体" w:cs="Times New Roman"/>
                <w:b w:val="0"/>
                <w:color w:val="000000"/>
                <w:sz w:val="21"/>
                <w:szCs w:val="21"/>
                <w:lang w:val="en-US" w:eastAsia="zh-CN" w:bidi="ar"/>
              </w:rPr>
              <w:t>：根据评估结果动态调整干预建议和治疗方案。</w:t>
            </w:r>
          </w:p>
        </w:tc>
      </w:tr>
      <w:tr w14:paraId="08065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53C292E1">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6BB8651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3.4 </w:t>
            </w:r>
            <w:r>
              <w:rPr>
                <w:rStyle w:val="81"/>
                <w:rFonts w:hint="default" w:ascii="Times New Roman" w:hAnsi="Times New Roman" w:eastAsia="宋体" w:cs="Times New Roman"/>
                <w:b w:val="0"/>
                <w:color w:val="000000"/>
                <w:sz w:val="21"/>
                <w:szCs w:val="21"/>
                <w:lang w:val="en-US" w:eastAsia="zh-CN" w:bidi="ar"/>
              </w:rPr>
              <w:t>转诊机制</w:t>
            </w:r>
          </w:p>
        </w:tc>
        <w:tc>
          <w:tcPr>
            <w:tcW w:w="2717" w:type="pct"/>
            <w:tcBorders>
              <w:top w:val="nil"/>
              <w:left w:val="nil"/>
              <w:bottom w:val="nil"/>
              <w:right w:val="nil"/>
            </w:tcBorders>
            <w:shd w:val="clear" w:color="auto" w:fill="FFFFFF"/>
            <w:vAlign w:val="top"/>
          </w:tcPr>
          <w:p w14:paraId="7C7C450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3.4.1 上转指征</w:t>
            </w:r>
            <w:r>
              <w:rPr>
                <w:rStyle w:val="80"/>
                <w:rFonts w:hint="default" w:ascii="Times New Roman" w:hAnsi="Times New Roman" w:eastAsia="宋体" w:cs="Times New Roman"/>
                <w:b w:val="0"/>
                <w:color w:val="000000"/>
                <w:sz w:val="21"/>
                <w:szCs w:val="21"/>
                <w:lang w:val="en-US" w:eastAsia="zh-CN" w:bidi="ar"/>
              </w:rPr>
              <w:t>：首次心绞痛、病情加重、心电图动态改变、疑似ACS、管理指标不达标、需进一步检查或中医治疗。</w:t>
            </w:r>
          </w:p>
        </w:tc>
      </w:tr>
      <w:tr w14:paraId="24988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57D42470">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6E90F0A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3DF4BE1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3.4.2 下转指征</w:t>
            </w:r>
            <w:r>
              <w:rPr>
                <w:rStyle w:val="80"/>
                <w:rFonts w:hint="default" w:ascii="Times New Roman" w:hAnsi="Times New Roman" w:eastAsia="宋体" w:cs="Times New Roman"/>
                <w:b w:val="0"/>
                <w:color w:val="000000"/>
                <w:sz w:val="21"/>
                <w:szCs w:val="21"/>
                <w:lang w:val="en-US" w:eastAsia="zh-CN" w:bidi="ar"/>
              </w:rPr>
              <w:t>：诊断方案明确、病情稳定、血运重建后康复期、症状控制平稳、中医方案确定。</w:t>
            </w:r>
          </w:p>
        </w:tc>
      </w:tr>
      <w:tr w14:paraId="73A1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6B52E64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 规范治疗</w:t>
            </w:r>
          </w:p>
        </w:tc>
        <w:tc>
          <w:tcPr>
            <w:tcW w:w="1379" w:type="pct"/>
            <w:vMerge w:val="restart"/>
            <w:tcBorders>
              <w:top w:val="nil"/>
              <w:left w:val="nil"/>
              <w:bottom w:val="nil"/>
              <w:right w:val="nil"/>
            </w:tcBorders>
            <w:shd w:val="clear" w:color="auto" w:fill="FFFFFF"/>
            <w:vAlign w:val="top"/>
          </w:tcPr>
          <w:p w14:paraId="1C99960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 临床路径管理</w:t>
            </w:r>
          </w:p>
        </w:tc>
        <w:tc>
          <w:tcPr>
            <w:tcW w:w="2717" w:type="pct"/>
            <w:tcBorders>
              <w:top w:val="nil"/>
              <w:left w:val="nil"/>
              <w:bottom w:val="nil"/>
              <w:right w:val="nil"/>
            </w:tcBorders>
            <w:shd w:val="clear" w:color="auto" w:fill="FFFFFF"/>
            <w:vAlign w:val="top"/>
          </w:tcPr>
          <w:p w14:paraId="56405BE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4.1.1 稳定性冠心病治疗路径</w:t>
            </w:r>
            <w:r>
              <w:rPr>
                <w:rStyle w:val="80"/>
                <w:rFonts w:hint="default" w:ascii="Times New Roman" w:hAnsi="Times New Roman" w:eastAsia="宋体" w:cs="Times New Roman"/>
                <w:b w:val="0"/>
                <w:color w:val="000000"/>
                <w:sz w:val="21"/>
                <w:szCs w:val="21"/>
                <w:lang w:val="en-US" w:eastAsia="zh-CN" w:bidi="ar"/>
              </w:rPr>
              <w:t>：明确药物治疗及血运重建的适应症与流程。</w:t>
            </w:r>
          </w:p>
        </w:tc>
      </w:tr>
      <w:tr w14:paraId="7258C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24580CF0">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4D649DA3">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1832A62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4.1.2 急性冠脉综合征救治路径</w:t>
            </w:r>
            <w:r>
              <w:rPr>
                <w:rStyle w:val="80"/>
                <w:rFonts w:hint="default" w:ascii="Times New Roman" w:hAnsi="Times New Roman" w:eastAsia="宋体" w:cs="Times New Roman"/>
                <w:b w:val="0"/>
                <w:color w:val="000000"/>
                <w:sz w:val="21"/>
                <w:szCs w:val="21"/>
                <w:lang w:val="en-US" w:eastAsia="zh-CN" w:bidi="ar"/>
              </w:rPr>
              <w:t>：明确STEMI再灌注治疗及NSTE-ACS危险分层与侵入性策略的时限流程。</w:t>
            </w:r>
          </w:p>
        </w:tc>
      </w:tr>
      <w:tr w14:paraId="63C20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20B732A4">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7EA40E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4.2 中西医结合诊疗</w:t>
            </w:r>
          </w:p>
        </w:tc>
        <w:tc>
          <w:tcPr>
            <w:tcW w:w="2717" w:type="pct"/>
            <w:tcBorders>
              <w:top w:val="nil"/>
              <w:left w:val="nil"/>
              <w:bottom w:val="nil"/>
              <w:right w:val="nil"/>
            </w:tcBorders>
            <w:shd w:val="clear" w:color="auto" w:fill="FFFFFF"/>
            <w:vAlign w:val="top"/>
          </w:tcPr>
          <w:p w14:paraId="0F78961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4.2.1 中医辨证治疗</w:t>
            </w:r>
            <w:r>
              <w:rPr>
                <w:rStyle w:val="80"/>
                <w:rFonts w:hint="default" w:ascii="Times New Roman" w:hAnsi="Times New Roman" w:eastAsia="宋体" w:cs="Times New Roman"/>
                <w:b w:val="0"/>
                <w:color w:val="000000"/>
                <w:sz w:val="21"/>
                <w:szCs w:val="21"/>
                <w:lang w:val="en-US" w:eastAsia="zh-CN" w:bidi="ar"/>
              </w:rPr>
              <w:t>：提供规范中医辨证施治，对疗效不佳者及时转诊或调整。</w:t>
            </w:r>
          </w:p>
        </w:tc>
      </w:tr>
      <w:tr w14:paraId="1CA0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078F3640">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3186542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 多学科协作方案</w:t>
            </w:r>
          </w:p>
        </w:tc>
        <w:tc>
          <w:tcPr>
            <w:tcW w:w="2717" w:type="pct"/>
            <w:tcBorders>
              <w:top w:val="nil"/>
              <w:left w:val="nil"/>
              <w:bottom w:val="nil"/>
              <w:right w:val="nil"/>
            </w:tcBorders>
            <w:shd w:val="clear" w:color="auto" w:fill="FFFFFF"/>
            <w:vAlign w:val="top"/>
          </w:tcPr>
          <w:p w14:paraId="4DA9C1C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4.3.1 MDT团队协作</w:t>
            </w:r>
            <w:r>
              <w:rPr>
                <w:rStyle w:val="80"/>
                <w:rFonts w:hint="default" w:ascii="Times New Roman" w:hAnsi="Times New Roman" w:eastAsia="宋体" w:cs="Times New Roman"/>
                <w:b w:val="0"/>
                <w:color w:val="000000"/>
                <w:sz w:val="21"/>
                <w:szCs w:val="21"/>
                <w:lang w:val="en-US" w:eastAsia="zh-CN" w:bidi="ar"/>
              </w:rPr>
              <w:t>：对复杂病例建立心内、心外、影像、康复、营养、心理等多学科协作诊疗模式。</w:t>
            </w:r>
          </w:p>
        </w:tc>
      </w:tr>
      <w:tr w14:paraId="797CB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B0EA92E">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4F2836C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 药物治疗规范</w:t>
            </w:r>
          </w:p>
        </w:tc>
        <w:tc>
          <w:tcPr>
            <w:tcW w:w="2717" w:type="pct"/>
            <w:tcBorders>
              <w:top w:val="nil"/>
              <w:left w:val="nil"/>
              <w:bottom w:val="nil"/>
              <w:right w:val="nil"/>
            </w:tcBorders>
            <w:shd w:val="clear" w:color="auto" w:fill="FFFFFF"/>
            <w:vAlign w:val="top"/>
          </w:tcPr>
          <w:p w14:paraId="20FB923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4.4.1 二级预防药物</w:t>
            </w:r>
            <w:r>
              <w:rPr>
                <w:rStyle w:val="80"/>
                <w:rFonts w:hint="default" w:ascii="Times New Roman" w:hAnsi="Times New Roman" w:eastAsia="宋体" w:cs="Times New Roman"/>
                <w:b w:val="0"/>
                <w:color w:val="000000"/>
                <w:sz w:val="21"/>
                <w:szCs w:val="21"/>
                <w:lang w:val="en-US" w:eastAsia="zh-CN" w:bidi="ar"/>
              </w:rPr>
              <w:t>：规范使用阿司匹林、他汀类药物、β受体阻滞剂、ACEI/ARB等。</w:t>
            </w:r>
          </w:p>
        </w:tc>
      </w:tr>
      <w:tr w14:paraId="4E450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6E803AC">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2057469C">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66835B8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4.4.2 特殊人群用药</w:t>
            </w:r>
            <w:r>
              <w:rPr>
                <w:rStyle w:val="80"/>
                <w:rFonts w:hint="default" w:ascii="Times New Roman" w:hAnsi="Times New Roman" w:eastAsia="宋体" w:cs="Times New Roman"/>
                <w:b w:val="0"/>
                <w:color w:val="000000"/>
                <w:sz w:val="21"/>
                <w:szCs w:val="21"/>
                <w:lang w:val="en-US" w:eastAsia="zh-CN" w:bidi="ar"/>
              </w:rPr>
              <w:t>：根据合并症（糖尿病、慢性肾脏病）及年龄调整药物选择和剂量。</w:t>
            </w:r>
          </w:p>
        </w:tc>
      </w:tr>
      <w:tr w14:paraId="2C25C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06C85E07">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1A50DA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4.5 血运重建与介入治疗</w:t>
            </w:r>
          </w:p>
        </w:tc>
        <w:tc>
          <w:tcPr>
            <w:tcW w:w="2717" w:type="pct"/>
            <w:tcBorders>
              <w:top w:val="nil"/>
              <w:left w:val="nil"/>
              <w:bottom w:val="nil"/>
              <w:right w:val="nil"/>
            </w:tcBorders>
            <w:shd w:val="clear" w:color="auto" w:fill="FFFFFF"/>
            <w:vAlign w:val="top"/>
          </w:tcPr>
          <w:p w14:paraId="34B04BD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4.5.1 治疗方式选择</w:t>
            </w:r>
            <w:r>
              <w:rPr>
                <w:rStyle w:val="80"/>
                <w:rFonts w:hint="default" w:ascii="Times New Roman" w:hAnsi="Times New Roman" w:eastAsia="宋体" w:cs="Times New Roman"/>
                <w:b w:val="0"/>
                <w:color w:val="000000"/>
                <w:sz w:val="21"/>
                <w:szCs w:val="21"/>
                <w:lang w:val="en-US" w:eastAsia="zh-CN" w:bidi="ar"/>
              </w:rPr>
              <w:t>：综合评估选择经皮冠状动脉介入治疗（PCI）或冠状动脉旁路移植术（CABG）。</w:t>
            </w:r>
          </w:p>
        </w:tc>
      </w:tr>
      <w:tr w14:paraId="45E04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617FC63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 功能康复</w:t>
            </w:r>
          </w:p>
        </w:tc>
        <w:tc>
          <w:tcPr>
            <w:tcW w:w="1379" w:type="pct"/>
            <w:tcBorders>
              <w:top w:val="nil"/>
              <w:left w:val="nil"/>
              <w:bottom w:val="nil"/>
              <w:right w:val="nil"/>
            </w:tcBorders>
            <w:shd w:val="clear" w:color="auto" w:fill="FFFFFF"/>
            <w:vAlign w:val="top"/>
          </w:tcPr>
          <w:p w14:paraId="3C804A4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 心脏康复运动训练</w:t>
            </w:r>
          </w:p>
        </w:tc>
        <w:tc>
          <w:tcPr>
            <w:tcW w:w="2717" w:type="pct"/>
            <w:tcBorders>
              <w:top w:val="nil"/>
              <w:left w:val="nil"/>
              <w:bottom w:val="nil"/>
              <w:right w:val="nil"/>
            </w:tcBorders>
            <w:shd w:val="clear" w:color="auto" w:fill="FFFFFF"/>
            <w:vAlign w:val="top"/>
          </w:tcPr>
          <w:p w14:paraId="21A0C4D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5.1.1 个体化运动处方</w:t>
            </w:r>
            <w:r>
              <w:rPr>
                <w:rStyle w:val="80"/>
                <w:rFonts w:hint="default" w:ascii="Times New Roman" w:hAnsi="Times New Roman" w:eastAsia="宋体" w:cs="Times New Roman"/>
                <w:b w:val="0"/>
                <w:color w:val="000000"/>
                <w:sz w:val="21"/>
                <w:szCs w:val="21"/>
                <w:lang w:val="en-US" w:eastAsia="zh-CN" w:bidi="ar"/>
              </w:rPr>
              <w:t>：制定每周≥150分钟中等强度或≥75分钟高强度活动的个体化运动处方。</w:t>
            </w:r>
          </w:p>
        </w:tc>
      </w:tr>
      <w:tr w14:paraId="3F910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1A6E1535">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B6D11F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 心理支持与情绪管理</w:t>
            </w:r>
          </w:p>
        </w:tc>
        <w:tc>
          <w:tcPr>
            <w:tcW w:w="2717" w:type="pct"/>
            <w:tcBorders>
              <w:top w:val="nil"/>
              <w:left w:val="nil"/>
              <w:bottom w:val="nil"/>
              <w:right w:val="nil"/>
            </w:tcBorders>
            <w:shd w:val="clear" w:color="auto" w:fill="FFFFFF"/>
            <w:vAlign w:val="top"/>
          </w:tcPr>
          <w:p w14:paraId="0F2B939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5.2.1 心理问题筛查与干预</w:t>
            </w:r>
            <w:r>
              <w:rPr>
                <w:rStyle w:val="80"/>
                <w:rFonts w:hint="default" w:ascii="Times New Roman" w:hAnsi="Times New Roman" w:eastAsia="宋体" w:cs="Times New Roman"/>
                <w:b w:val="0"/>
                <w:color w:val="000000"/>
                <w:sz w:val="21"/>
                <w:szCs w:val="21"/>
                <w:lang w:val="en-US" w:eastAsia="zh-CN" w:bidi="ar"/>
              </w:rPr>
              <w:t>：定期筛查焦虑、抑郁，并提供认知行为疗法等心理支持。</w:t>
            </w:r>
          </w:p>
        </w:tc>
      </w:tr>
      <w:tr w14:paraId="58C5D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D441479">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restart"/>
            <w:tcBorders>
              <w:top w:val="nil"/>
              <w:left w:val="nil"/>
              <w:bottom w:val="nil"/>
              <w:right w:val="nil"/>
            </w:tcBorders>
            <w:shd w:val="clear" w:color="auto" w:fill="FFFFFF"/>
            <w:vAlign w:val="top"/>
          </w:tcPr>
          <w:p w14:paraId="3E34582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 生活方式重塑指导</w:t>
            </w:r>
          </w:p>
        </w:tc>
        <w:tc>
          <w:tcPr>
            <w:tcW w:w="2717" w:type="pct"/>
            <w:tcBorders>
              <w:top w:val="nil"/>
              <w:left w:val="nil"/>
              <w:bottom w:val="nil"/>
              <w:right w:val="nil"/>
            </w:tcBorders>
            <w:shd w:val="clear" w:color="auto" w:fill="FFFFFF"/>
            <w:vAlign w:val="top"/>
          </w:tcPr>
          <w:p w14:paraId="11E3297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5.3.1 系统性生活方式干预</w:t>
            </w:r>
            <w:r>
              <w:rPr>
                <w:rStyle w:val="80"/>
                <w:rFonts w:hint="default" w:ascii="Times New Roman" w:hAnsi="Times New Roman" w:eastAsia="宋体" w:cs="Times New Roman"/>
                <w:b w:val="0"/>
                <w:color w:val="000000"/>
                <w:sz w:val="21"/>
                <w:szCs w:val="21"/>
                <w:lang w:val="en-US" w:eastAsia="zh-CN" w:bidi="ar"/>
              </w:rPr>
              <w:t>：指导患者彻底戒烟、限酒、低盐低脂饮食、控制体重、保证睡眠。</w:t>
            </w:r>
          </w:p>
        </w:tc>
      </w:tr>
      <w:tr w14:paraId="2A342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nil"/>
              <w:right w:val="nil"/>
            </w:tcBorders>
            <w:shd w:val="clear" w:color="auto" w:fill="FFFFFF"/>
            <w:vAlign w:val="top"/>
          </w:tcPr>
          <w:p w14:paraId="1267196F">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778BCEE6">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3481F63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5.3.2 应急知识教育</w:t>
            </w:r>
            <w:r>
              <w:rPr>
                <w:rStyle w:val="80"/>
                <w:rFonts w:hint="default" w:ascii="Times New Roman" w:hAnsi="Times New Roman" w:eastAsia="宋体" w:cs="Times New Roman"/>
                <w:b w:val="0"/>
                <w:color w:val="000000"/>
                <w:sz w:val="21"/>
                <w:szCs w:val="21"/>
                <w:lang w:val="en-US" w:eastAsia="zh-CN" w:bidi="ar"/>
              </w:rPr>
              <w:t>：使患者掌握急性心血管事件的识别方法与就医流程，指导配备急救药物。</w:t>
            </w:r>
          </w:p>
        </w:tc>
      </w:tr>
      <w:tr w14:paraId="353E2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restart"/>
            <w:tcBorders>
              <w:top w:val="nil"/>
              <w:left w:val="nil"/>
              <w:right w:val="nil"/>
            </w:tcBorders>
            <w:shd w:val="clear" w:color="auto" w:fill="FFFFFF"/>
            <w:vAlign w:val="top"/>
          </w:tcPr>
          <w:p w14:paraId="3609290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 长期护理</w:t>
            </w:r>
          </w:p>
        </w:tc>
        <w:tc>
          <w:tcPr>
            <w:tcW w:w="1379" w:type="pct"/>
            <w:vMerge w:val="restart"/>
            <w:tcBorders>
              <w:top w:val="nil"/>
              <w:left w:val="nil"/>
              <w:bottom w:val="nil"/>
              <w:right w:val="nil"/>
            </w:tcBorders>
            <w:shd w:val="clear" w:color="auto" w:fill="FFFFFF"/>
            <w:vAlign w:val="top"/>
          </w:tcPr>
          <w:p w14:paraId="57716DC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 居家康养与自我管理</w:t>
            </w:r>
          </w:p>
        </w:tc>
        <w:tc>
          <w:tcPr>
            <w:tcW w:w="2717" w:type="pct"/>
            <w:tcBorders>
              <w:top w:val="nil"/>
              <w:left w:val="nil"/>
              <w:bottom w:val="nil"/>
              <w:right w:val="nil"/>
            </w:tcBorders>
            <w:shd w:val="clear" w:color="auto" w:fill="FFFFFF"/>
            <w:vAlign w:val="top"/>
          </w:tcPr>
          <w:p w14:paraId="7BC9748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6.1.1 自我监测与管理</w:t>
            </w:r>
            <w:r>
              <w:rPr>
                <w:rStyle w:val="80"/>
                <w:rFonts w:hint="default" w:ascii="Times New Roman" w:hAnsi="Times New Roman" w:eastAsia="宋体" w:cs="Times New Roman"/>
                <w:b w:val="0"/>
                <w:color w:val="000000"/>
                <w:sz w:val="21"/>
                <w:szCs w:val="21"/>
                <w:lang w:val="en-US" w:eastAsia="zh-CN" w:bidi="ar"/>
              </w:rPr>
              <w:t>：指导患者定期监测生命体征，严格遵医嘱服药，鼓励使用远程设备。</w:t>
            </w:r>
          </w:p>
        </w:tc>
      </w:tr>
      <w:tr w14:paraId="121D0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6F8746F5">
            <w:pPr>
              <w:jc w:val="both"/>
              <w:outlineLvl w:val="9"/>
              <w:rPr>
                <w:rFonts w:hint="default" w:ascii="Times New Roman" w:hAnsi="Times New Roman" w:eastAsia="宋体" w:cs="Times New Roman"/>
                <w:b w:val="0"/>
                <w:i w:val="0"/>
                <w:iCs w:val="0"/>
                <w:color w:val="000000"/>
                <w:sz w:val="21"/>
                <w:szCs w:val="21"/>
                <w:u w:val="none"/>
              </w:rPr>
            </w:pPr>
          </w:p>
        </w:tc>
        <w:tc>
          <w:tcPr>
            <w:tcW w:w="1379" w:type="pct"/>
            <w:vMerge w:val="continue"/>
            <w:tcBorders>
              <w:top w:val="nil"/>
              <w:left w:val="nil"/>
              <w:bottom w:val="nil"/>
              <w:right w:val="nil"/>
            </w:tcBorders>
            <w:shd w:val="clear" w:color="auto" w:fill="FFFFFF"/>
            <w:vAlign w:val="top"/>
          </w:tcPr>
          <w:p w14:paraId="7D76E4E5">
            <w:pPr>
              <w:jc w:val="both"/>
              <w:outlineLvl w:val="9"/>
              <w:rPr>
                <w:rFonts w:hint="default" w:ascii="Times New Roman" w:hAnsi="Times New Roman" w:eastAsia="宋体" w:cs="Times New Roman"/>
                <w:b w:val="0"/>
                <w:i w:val="0"/>
                <w:iCs w:val="0"/>
                <w:color w:val="000000"/>
                <w:sz w:val="21"/>
                <w:szCs w:val="21"/>
                <w:u w:val="none"/>
              </w:rPr>
            </w:pPr>
          </w:p>
        </w:tc>
        <w:tc>
          <w:tcPr>
            <w:tcW w:w="2717" w:type="pct"/>
            <w:tcBorders>
              <w:top w:val="nil"/>
              <w:left w:val="nil"/>
              <w:bottom w:val="nil"/>
              <w:right w:val="nil"/>
            </w:tcBorders>
            <w:shd w:val="clear" w:color="auto" w:fill="FFFFFF"/>
            <w:vAlign w:val="top"/>
          </w:tcPr>
          <w:p w14:paraId="2941874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6.1.2 居家护理指导</w:t>
            </w:r>
            <w:r>
              <w:rPr>
                <w:rStyle w:val="80"/>
                <w:rFonts w:hint="default" w:ascii="Times New Roman" w:hAnsi="Times New Roman" w:eastAsia="宋体" w:cs="Times New Roman"/>
                <w:b w:val="0"/>
                <w:color w:val="000000"/>
                <w:sz w:val="21"/>
                <w:szCs w:val="21"/>
                <w:lang w:val="en-US" w:eastAsia="zh-CN" w:bidi="ar"/>
              </w:rPr>
              <w:t>：提供饮食、运动、用药依从性等方面的具体家庭护理指导。</w:t>
            </w:r>
          </w:p>
        </w:tc>
      </w:tr>
      <w:tr w14:paraId="41DBD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right w:val="nil"/>
            </w:tcBorders>
            <w:shd w:val="clear" w:color="auto" w:fill="FFFFFF"/>
            <w:vAlign w:val="top"/>
          </w:tcPr>
          <w:p w14:paraId="4875F7F6">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nil"/>
              <w:right w:val="nil"/>
            </w:tcBorders>
            <w:shd w:val="clear" w:color="auto" w:fill="FFFFFF"/>
            <w:vAlign w:val="top"/>
          </w:tcPr>
          <w:p w14:paraId="475A1CD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 机构照护与并发症预防</w:t>
            </w:r>
          </w:p>
        </w:tc>
        <w:tc>
          <w:tcPr>
            <w:tcW w:w="2717" w:type="pct"/>
            <w:tcBorders>
              <w:top w:val="nil"/>
              <w:left w:val="nil"/>
              <w:bottom w:val="nil"/>
              <w:right w:val="nil"/>
            </w:tcBorders>
            <w:shd w:val="clear" w:color="auto" w:fill="FFFFFF"/>
            <w:vAlign w:val="top"/>
          </w:tcPr>
          <w:p w14:paraId="076DE76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6.2.1 并发症监测与预防</w:t>
            </w:r>
            <w:r>
              <w:rPr>
                <w:rStyle w:val="80"/>
                <w:rFonts w:hint="default" w:ascii="Times New Roman" w:hAnsi="Times New Roman" w:eastAsia="宋体" w:cs="Times New Roman"/>
                <w:b w:val="0"/>
                <w:color w:val="000000"/>
                <w:sz w:val="21"/>
                <w:szCs w:val="21"/>
                <w:lang w:val="en-US" w:eastAsia="zh-CN" w:bidi="ar"/>
              </w:rPr>
              <w:t>：在机构中定期评估心功能，密切观察症状，预防心力衰竭、严重心律失常等并发症。</w:t>
            </w:r>
          </w:p>
        </w:tc>
      </w:tr>
      <w:tr w14:paraId="78457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3" w:type="pct"/>
            <w:vMerge w:val="continue"/>
            <w:tcBorders>
              <w:left w:val="nil"/>
              <w:bottom w:val="single" w:color="000000" w:sz="12" w:space="0"/>
              <w:right w:val="nil"/>
            </w:tcBorders>
            <w:shd w:val="clear" w:color="auto" w:fill="FFFFFF"/>
            <w:vAlign w:val="top"/>
          </w:tcPr>
          <w:p w14:paraId="3D0E49F4">
            <w:pPr>
              <w:jc w:val="both"/>
              <w:outlineLvl w:val="9"/>
              <w:rPr>
                <w:rFonts w:hint="default" w:ascii="Times New Roman" w:hAnsi="Times New Roman" w:eastAsia="宋体" w:cs="Times New Roman"/>
                <w:b w:val="0"/>
                <w:i w:val="0"/>
                <w:iCs w:val="0"/>
                <w:color w:val="000000"/>
                <w:sz w:val="21"/>
                <w:szCs w:val="21"/>
                <w:u w:val="none"/>
              </w:rPr>
            </w:pPr>
          </w:p>
        </w:tc>
        <w:tc>
          <w:tcPr>
            <w:tcW w:w="1379" w:type="pct"/>
            <w:tcBorders>
              <w:top w:val="nil"/>
              <w:left w:val="nil"/>
              <w:bottom w:val="single" w:color="000000" w:sz="12" w:space="0"/>
              <w:right w:val="nil"/>
            </w:tcBorders>
            <w:shd w:val="clear" w:color="auto" w:fill="FFFFFF"/>
            <w:vAlign w:val="top"/>
          </w:tcPr>
          <w:p w14:paraId="18584A5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 安宁疗护支持</w:t>
            </w:r>
          </w:p>
        </w:tc>
        <w:tc>
          <w:tcPr>
            <w:tcW w:w="2717" w:type="pct"/>
            <w:tcBorders>
              <w:top w:val="nil"/>
              <w:left w:val="nil"/>
              <w:bottom w:val="single" w:color="000000" w:sz="12" w:space="0"/>
              <w:right w:val="nil"/>
            </w:tcBorders>
            <w:shd w:val="clear" w:color="auto" w:fill="FFFFFF"/>
            <w:vAlign w:val="top"/>
          </w:tcPr>
          <w:p w14:paraId="3D2228A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6.3.1 终末期综合照护</w:t>
            </w:r>
            <w:r>
              <w:rPr>
                <w:rStyle w:val="80"/>
                <w:rFonts w:hint="default" w:ascii="Times New Roman" w:hAnsi="Times New Roman" w:eastAsia="宋体" w:cs="Times New Roman"/>
                <w:b w:val="0"/>
                <w:color w:val="000000"/>
                <w:sz w:val="21"/>
                <w:szCs w:val="21"/>
                <w:lang w:val="en-US" w:eastAsia="zh-CN" w:bidi="ar"/>
              </w:rPr>
              <w:t>：为终末期患者提供疼痛管理、心理疏导、家属哀伤辅导等人文关怀服务。</w:t>
            </w:r>
          </w:p>
        </w:tc>
      </w:tr>
    </w:tbl>
    <w:p w14:paraId="29CE8A15">
      <w:pPr>
        <w:pStyle w:val="59"/>
        <w:spacing w:line="360" w:lineRule="auto"/>
        <w:ind w:firstLine="420"/>
        <w:outlineLvl w:val="9"/>
        <w:rPr>
          <w:rFonts w:ascii="Times New Roman"/>
        </w:rPr>
      </w:pPr>
    </w:p>
    <w:p w14:paraId="2012A9B4">
      <w:pPr>
        <w:pStyle w:val="59"/>
        <w:spacing w:line="360" w:lineRule="auto"/>
        <w:ind w:left="0" w:leftChars="0" w:firstLine="0" w:firstLineChars="0"/>
        <w:outlineLvl w:val="9"/>
        <w:rPr>
          <w:rFonts w:ascii="Times New Roman"/>
        </w:rPr>
      </w:pPr>
    </w:p>
    <w:p w14:paraId="297008B4">
      <w:pPr>
        <w:pStyle w:val="64"/>
        <w:numPr>
          <w:ilvl w:val="1"/>
          <w:numId w:val="0"/>
        </w:numPr>
        <w:adjustRightInd w:val="0"/>
        <w:snapToGrid w:val="0"/>
        <w:spacing w:before="240" w:after="240" w:line="360" w:lineRule="auto"/>
        <w:jc w:val="left"/>
        <w:outlineLvl w:val="9"/>
        <w:rPr>
          <w:rFonts w:hint="default" w:ascii="Times New Roman"/>
          <w:lang w:val="en-US"/>
        </w:rPr>
      </w:pPr>
      <w:r>
        <w:rPr>
          <w:rFonts w:hint="eastAsia" w:hAnsi="黑体" w:cs="黑体"/>
          <w:b/>
          <w:bCs/>
          <w:szCs w:val="21"/>
          <w:lang w:val="en-US" w:eastAsia="zh-CN"/>
        </w:rPr>
        <w:t>5.2 脑卒中</w:t>
      </w:r>
    </w:p>
    <w:p w14:paraId="7939C98F">
      <w:pPr>
        <w:spacing w:line="360" w:lineRule="auto"/>
        <w:outlineLvl w:val="9"/>
        <w:rPr>
          <w:rFonts w:hint="eastAsia" w:ascii="黑体" w:hAnsi="黑体" w:eastAsia="黑体"/>
          <w:color w:val="000000" w:themeColor="text1"/>
          <w:sz w:val="21"/>
          <w:szCs w:val="21"/>
          <w:lang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2.</w:t>
      </w:r>
      <w:r>
        <w:rPr>
          <w:rFonts w:hint="eastAsia" w:ascii="黑体" w:hAnsi="黑体" w:eastAsia="黑体"/>
          <w:color w:val="000000" w:themeColor="text1"/>
          <w:sz w:val="21"/>
          <w:szCs w:val="21"/>
          <w14:textFill>
            <w14:solidFill>
              <w14:schemeClr w14:val="tx1"/>
            </w14:solidFill>
          </w14:textFill>
        </w:rPr>
        <w:t>1 一级</w:t>
      </w:r>
      <w:r>
        <w:rPr>
          <w:rFonts w:hint="eastAsia" w:ascii="黑体" w:hAnsi="黑体" w:eastAsia="黑体"/>
          <w:color w:val="000000" w:themeColor="text1"/>
          <w:sz w:val="21"/>
          <w:szCs w:val="21"/>
          <w:lang w:val="en-US" w:eastAsia="zh-CN"/>
          <w14:textFill>
            <w14:solidFill>
              <w14:schemeClr w14:val="tx1"/>
            </w14:solidFill>
          </w14:textFill>
        </w:rPr>
        <w:t>技术</w:t>
      </w:r>
    </w:p>
    <w:p w14:paraId="6673A4E5">
      <w:pPr>
        <w:pStyle w:val="59"/>
        <w:spacing w:line="360" w:lineRule="auto"/>
        <w:ind w:firstLine="420"/>
        <w:outlineLvl w:val="9"/>
        <w:rPr>
          <w:rFonts w:ascii="Times New Roman"/>
        </w:rPr>
      </w:pPr>
      <w:r>
        <w:rPr>
          <w:rFonts w:hint="eastAsia" w:ascii="Times New Roman"/>
        </w:rPr>
        <w:t>共6个一级</w:t>
      </w:r>
      <w:r>
        <w:rPr>
          <w:rFonts w:hint="eastAsia" w:ascii="Times New Roman"/>
          <w:lang w:val="en-US" w:eastAsia="zh-CN"/>
        </w:rPr>
        <w:t>技术</w:t>
      </w:r>
      <w:r>
        <w:rPr>
          <w:rFonts w:hint="eastAsia" w:ascii="Times New Roman"/>
        </w:rPr>
        <w:t>，包括预防干预、早期筛查、分级管理、规范治疗、功能康复、长期护理。</w:t>
      </w:r>
    </w:p>
    <w:p w14:paraId="132016D9">
      <w:pPr>
        <w:spacing w:line="360" w:lineRule="auto"/>
        <w:outlineLvl w:val="9"/>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2.</w:t>
      </w:r>
      <w:r>
        <w:rPr>
          <w:rFonts w:hint="eastAsia" w:ascii="黑体" w:hAnsi="黑体" w:eastAsia="黑体"/>
          <w:color w:val="000000" w:themeColor="text1"/>
          <w:sz w:val="21"/>
          <w:szCs w:val="21"/>
          <w14:textFill>
            <w14:solidFill>
              <w14:schemeClr w14:val="tx1"/>
            </w14:solidFill>
          </w14:textFill>
        </w:rPr>
        <w:t>2 二级</w:t>
      </w:r>
      <w:r>
        <w:rPr>
          <w:rFonts w:hint="eastAsia" w:ascii="黑体" w:hAnsi="黑体" w:eastAsia="黑体"/>
          <w:color w:val="000000" w:themeColor="text1"/>
          <w:sz w:val="21"/>
          <w:szCs w:val="21"/>
          <w:lang w:val="en-US" w:eastAsia="zh-CN"/>
          <w14:textFill>
            <w14:solidFill>
              <w14:schemeClr w14:val="tx1"/>
            </w14:solidFill>
          </w14:textFill>
        </w:rPr>
        <w:t>技术</w:t>
      </w:r>
    </w:p>
    <w:p w14:paraId="21098873">
      <w:pPr>
        <w:pStyle w:val="59"/>
        <w:spacing w:line="360" w:lineRule="auto"/>
        <w:ind w:firstLine="420"/>
        <w:outlineLvl w:val="9"/>
        <w:rPr>
          <w:rFonts w:hint="eastAsia" w:ascii="Times New Roman"/>
        </w:rPr>
      </w:pPr>
      <w:r>
        <w:rPr>
          <w:rFonts w:hint="eastAsia" w:ascii="Times New Roman"/>
        </w:rPr>
        <w:t>共</w:t>
      </w:r>
      <w:r>
        <w:rPr>
          <w:rFonts w:hint="eastAsia" w:ascii="Times New Roman"/>
          <w:lang w:val="en-US" w:eastAsia="zh-CN"/>
        </w:rPr>
        <w:t>13</w:t>
      </w:r>
      <w:r>
        <w:rPr>
          <w:rFonts w:hint="eastAsia" w:ascii="Times New Roman"/>
        </w:rPr>
        <w:t>个二级</w:t>
      </w:r>
      <w:r>
        <w:rPr>
          <w:rFonts w:hint="eastAsia" w:ascii="Times New Roman"/>
          <w:lang w:val="en-US" w:eastAsia="zh-CN"/>
        </w:rPr>
        <w:t>技术</w:t>
      </w:r>
      <w:r>
        <w:rPr>
          <w:rFonts w:hint="eastAsia" w:ascii="Times New Roman"/>
        </w:rPr>
        <w:t>，包括</w:t>
      </w:r>
      <w:r>
        <w:rPr>
          <w:rFonts w:hint="eastAsia" w:ascii="Times New Roman"/>
          <w:lang w:val="en-US" w:eastAsia="zh-CN"/>
        </w:rPr>
        <w:t>分级</w:t>
      </w:r>
      <w:r>
        <w:rPr>
          <w:rFonts w:hint="eastAsia" w:ascii="Times New Roman"/>
        </w:rPr>
        <w:t>预防</w:t>
      </w:r>
      <w:r>
        <w:rPr>
          <w:rFonts w:hint="eastAsia" w:ascii="Times New Roman"/>
          <w:lang w:eastAsia="zh-CN"/>
        </w:rPr>
        <w:t>、</w:t>
      </w:r>
      <w:r>
        <w:rPr>
          <w:rFonts w:hint="eastAsia" w:ascii="Times New Roman"/>
        </w:rPr>
        <w:t>筛查组织与对象、危险因素评估与分层、筛查随访与社区管理</w:t>
      </w:r>
      <w:r>
        <w:rPr>
          <w:rFonts w:hint="eastAsia" w:ascii="Times New Roman"/>
          <w:lang w:eastAsia="zh-CN"/>
        </w:rPr>
        <w:t>、</w:t>
      </w:r>
      <w:r>
        <w:rPr>
          <w:rFonts w:hint="eastAsia" w:ascii="Times New Roman"/>
          <w:lang w:val="en-US" w:eastAsia="zh-CN"/>
        </w:rPr>
        <w:t>风险</w:t>
      </w:r>
      <w:r>
        <w:rPr>
          <w:rFonts w:hint="eastAsia" w:ascii="Times New Roman"/>
        </w:rPr>
        <w:t>分层干预、康复转诊机制</w:t>
      </w:r>
      <w:r>
        <w:rPr>
          <w:rFonts w:hint="eastAsia" w:ascii="Times New Roman"/>
          <w:lang w:eastAsia="zh-CN"/>
        </w:rPr>
        <w:t>、</w:t>
      </w:r>
      <w:r>
        <w:rPr>
          <w:rFonts w:hint="eastAsia" w:ascii="Times New Roman"/>
        </w:rPr>
        <w:t>急性期治疗性康复介入</w:t>
      </w:r>
      <w:r>
        <w:rPr>
          <w:rFonts w:hint="eastAsia" w:ascii="Times New Roman"/>
          <w:lang w:eastAsia="zh-CN"/>
        </w:rPr>
        <w:t>、</w:t>
      </w:r>
      <w:r>
        <w:rPr>
          <w:rFonts w:hint="eastAsia" w:ascii="Times New Roman"/>
        </w:rPr>
        <w:t>恢复期康复管理、社区与家庭康复管理、专项康复治疗</w:t>
      </w:r>
      <w:r>
        <w:rPr>
          <w:rFonts w:hint="eastAsia" w:ascii="Times New Roman"/>
          <w:lang w:eastAsia="zh-CN"/>
        </w:rPr>
        <w:t>、</w:t>
      </w:r>
      <w:r>
        <w:rPr>
          <w:rFonts w:hint="eastAsia" w:ascii="Times New Roman"/>
        </w:rPr>
        <w:t>康复护理原则与实施、系统化健康教育、专业化康复监护。</w:t>
      </w:r>
    </w:p>
    <w:p w14:paraId="4285C874">
      <w:pPr>
        <w:spacing w:line="360" w:lineRule="auto"/>
        <w:outlineLvl w:val="9"/>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2.</w:t>
      </w:r>
      <w:r>
        <w:rPr>
          <w:rFonts w:hint="eastAsia" w:ascii="黑体" w:hAnsi="黑体" w:eastAsia="黑体"/>
          <w:color w:val="000000" w:themeColor="text1"/>
          <w:sz w:val="21"/>
          <w:szCs w:val="21"/>
          <w14:textFill>
            <w14:solidFill>
              <w14:schemeClr w14:val="tx1"/>
            </w14:solidFill>
          </w14:textFill>
        </w:rPr>
        <w:t>3 三级</w:t>
      </w:r>
      <w:r>
        <w:rPr>
          <w:rFonts w:hint="eastAsia" w:ascii="黑体" w:hAnsi="黑体" w:eastAsia="黑体"/>
          <w:color w:val="000000" w:themeColor="text1"/>
          <w:sz w:val="21"/>
          <w:szCs w:val="21"/>
          <w:lang w:val="en-US" w:eastAsia="zh-CN"/>
          <w14:textFill>
            <w14:solidFill>
              <w14:schemeClr w14:val="tx1"/>
            </w14:solidFill>
          </w14:textFill>
        </w:rPr>
        <w:t>技术</w:t>
      </w:r>
    </w:p>
    <w:p w14:paraId="6D105B76">
      <w:pPr>
        <w:pStyle w:val="59"/>
        <w:spacing w:line="360" w:lineRule="auto"/>
        <w:ind w:firstLine="420"/>
        <w:outlineLvl w:val="9"/>
        <w:rPr>
          <w:rFonts w:ascii="Times New Roman"/>
        </w:rPr>
      </w:pPr>
      <w:r>
        <w:rPr>
          <w:rFonts w:hint="eastAsia" w:ascii="Times New Roman"/>
          <w:lang w:val="en-US" w:eastAsia="zh-CN"/>
        </w:rPr>
        <w:t>脑卒中服务</w:t>
      </w:r>
      <w:r>
        <w:rPr>
          <w:rFonts w:hint="eastAsia" w:ascii="Times New Roman"/>
        </w:rPr>
        <w:t>共</w:t>
      </w:r>
      <w:r>
        <w:rPr>
          <w:rFonts w:hint="eastAsia" w:ascii="Times New Roman"/>
          <w:lang w:val="en-US" w:eastAsia="zh-CN"/>
        </w:rPr>
        <w:t>包括27</w:t>
      </w:r>
      <w:r>
        <w:rPr>
          <w:rFonts w:hint="eastAsia" w:ascii="Times New Roman"/>
        </w:rPr>
        <w:t>个三级</w:t>
      </w:r>
      <w:r>
        <w:rPr>
          <w:rFonts w:hint="eastAsia" w:ascii="Times New Roman"/>
          <w:lang w:val="en-US" w:eastAsia="zh-CN"/>
        </w:rPr>
        <w:t>技术</w:t>
      </w:r>
      <w:r>
        <w:rPr>
          <w:rFonts w:hint="eastAsia" w:ascii="Times New Roman"/>
        </w:rPr>
        <w:t>。具体内容见表</w:t>
      </w:r>
      <w:r>
        <w:rPr>
          <w:rFonts w:hint="eastAsia" w:ascii="Times New Roman"/>
          <w:lang w:val="en-US" w:eastAsia="zh-CN"/>
        </w:rPr>
        <w:t>2</w:t>
      </w:r>
      <w:r>
        <w:rPr>
          <w:rFonts w:hint="eastAsia" w:ascii="Times New Roman"/>
        </w:rPr>
        <w:t>。</w:t>
      </w:r>
    </w:p>
    <w:p w14:paraId="07979A7C">
      <w:pPr>
        <w:pStyle w:val="59"/>
        <w:spacing w:line="360" w:lineRule="auto"/>
        <w:ind w:firstLine="422"/>
        <w:jc w:val="center"/>
        <w:outlineLvl w:val="9"/>
        <w:rPr>
          <w:rFonts w:hint="default" w:ascii="Times New Roman" w:eastAsia="宋体"/>
          <w:b/>
          <w:bCs/>
          <w:lang w:val="en-US" w:eastAsia="zh-CN"/>
        </w:rPr>
      </w:pPr>
      <w:r>
        <w:rPr>
          <w:rFonts w:hint="eastAsia" w:ascii="Times New Roman"/>
          <w:b/>
          <w:bCs/>
        </w:rPr>
        <w:t xml:space="preserve">表 </w:t>
      </w:r>
      <w:r>
        <w:rPr>
          <w:rFonts w:hint="eastAsia" w:ascii="Times New Roman"/>
          <w:b/>
          <w:bCs/>
          <w:lang w:val="en-US" w:eastAsia="zh-CN"/>
        </w:rPr>
        <w:t>2</w:t>
      </w:r>
      <w:r>
        <w:rPr>
          <w:rFonts w:hint="eastAsia" w:ascii="Times New Roman"/>
          <w:b/>
          <w:bCs/>
        </w:rPr>
        <w:t xml:space="preserve">  </w:t>
      </w:r>
      <w:r>
        <w:rPr>
          <w:rFonts w:hint="eastAsia" w:ascii="Times New Roman"/>
          <w:b/>
          <w:bCs/>
          <w:lang w:val="en-US" w:eastAsia="zh-CN"/>
        </w:rPr>
        <w:t>脑卒中“防、筛、管、治、康、护”服务技术标准体系</w:t>
      </w:r>
    </w:p>
    <w:tbl>
      <w:tblPr>
        <w:tblStyle w:val="21"/>
        <w:tblW w:w="512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73"/>
        <w:gridCol w:w="2816"/>
        <w:gridCol w:w="4363"/>
      </w:tblGrid>
      <w:tr w14:paraId="0D15C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2" w:type="pct"/>
            <w:tcBorders>
              <w:top w:val="single" w:color="000000" w:sz="12" w:space="0"/>
              <w:left w:val="nil"/>
              <w:bottom w:val="single" w:color="000000" w:sz="4" w:space="0"/>
              <w:right w:val="nil"/>
              <w:tl2br w:val="nil"/>
            </w:tcBorders>
            <w:shd w:val="clear" w:color="auto" w:fill="FFFFFF"/>
            <w:vAlign w:val="top"/>
          </w:tcPr>
          <w:p w14:paraId="30D7254C">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一级技术</w:t>
            </w:r>
          </w:p>
        </w:tc>
        <w:tc>
          <w:tcPr>
            <w:tcW w:w="1489" w:type="pct"/>
            <w:tcBorders>
              <w:top w:val="single" w:color="000000" w:sz="12" w:space="0"/>
              <w:left w:val="nil"/>
              <w:bottom w:val="single" w:color="000000" w:sz="4" w:space="0"/>
              <w:right w:val="nil"/>
            </w:tcBorders>
            <w:shd w:val="clear" w:color="auto" w:fill="FFFFFF"/>
            <w:vAlign w:val="top"/>
          </w:tcPr>
          <w:p w14:paraId="4FAA141C">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二级技术</w:t>
            </w:r>
          </w:p>
        </w:tc>
        <w:tc>
          <w:tcPr>
            <w:tcW w:w="2307" w:type="pct"/>
            <w:tcBorders>
              <w:top w:val="single" w:color="000000" w:sz="12" w:space="0"/>
              <w:left w:val="nil"/>
              <w:bottom w:val="single" w:color="000000" w:sz="4" w:space="0"/>
              <w:right w:val="nil"/>
            </w:tcBorders>
            <w:shd w:val="clear" w:color="auto" w:fill="FFFFFF"/>
            <w:vAlign w:val="top"/>
          </w:tcPr>
          <w:p w14:paraId="02CDA26F">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三级技术</w:t>
            </w:r>
          </w:p>
        </w:tc>
      </w:tr>
      <w:tr w14:paraId="3A338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restart"/>
            <w:tcBorders>
              <w:top w:val="single" w:color="000000" w:sz="4" w:space="0"/>
              <w:left w:val="nil"/>
              <w:right w:val="nil"/>
            </w:tcBorders>
            <w:shd w:val="clear" w:color="auto" w:fill="FFFFFF"/>
            <w:vAlign w:val="top"/>
          </w:tcPr>
          <w:p w14:paraId="020D1CF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 预防干预</w:t>
            </w:r>
          </w:p>
        </w:tc>
        <w:tc>
          <w:tcPr>
            <w:tcW w:w="1489" w:type="pct"/>
            <w:vMerge w:val="restart"/>
            <w:tcBorders>
              <w:top w:val="single" w:color="000000" w:sz="4" w:space="0"/>
              <w:left w:val="nil"/>
              <w:right w:val="nil"/>
            </w:tcBorders>
            <w:shd w:val="clear" w:color="auto" w:fill="FFFFFF"/>
            <w:vAlign w:val="top"/>
          </w:tcPr>
          <w:p w14:paraId="2870382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1.1 </w:t>
            </w:r>
            <w:r>
              <w:rPr>
                <w:rFonts w:hint="default" w:ascii="Times New Roman" w:hAnsi="Times New Roman" w:cs="Times New Roman"/>
                <w:b w:val="0"/>
                <w:i w:val="0"/>
                <w:iCs w:val="0"/>
                <w:color w:val="000000"/>
                <w:kern w:val="0"/>
                <w:sz w:val="21"/>
                <w:szCs w:val="21"/>
                <w:u w:val="none"/>
                <w:lang w:val="en-US" w:eastAsia="zh-CN" w:bidi="ar"/>
              </w:rPr>
              <w:t>分</w:t>
            </w:r>
            <w:r>
              <w:rPr>
                <w:rFonts w:hint="default" w:ascii="Times New Roman" w:hAnsi="Times New Roman" w:eastAsia="宋体" w:cs="Times New Roman"/>
                <w:b w:val="0"/>
                <w:i w:val="0"/>
                <w:iCs w:val="0"/>
                <w:color w:val="000000"/>
                <w:kern w:val="0"/>
                <w:sz w:val="21"/>
                <w:szCs w:val="21"/>
                <w:u w:val="none"/>
                <w:lang w:val="en-US" w:eastAsia="zh-CN" w:bidi="ar"/>
              </w:rPr>
              <w:t>级预防（高危人群）</w:t>
            </w:r>
          </w:p>
        </w:tc>
        <w:tc>
          <w:tcPr>
            <w:tcW w:w="2307" w:type="pct"/>
            <w:tcBorders>
              <w:top w:val="single" w:color="000000" w:sz="4" w:space="0"/>
              <w:left w:val="nil"/>
              <w:bottom w:val="nil"/>
              <w:right w:val="nil"/>
            </w:tcBorders>
            <w:shd w:val="clear" w:color="auto" w:fill="FFFFFF"/>
            <w:vAlign w:val="top"/>
          </w:tcPr>
          <w:p w14:paraId="289BAF6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1.1.1  一级预防（高危人群）</w:t>
            </w:r>
            <w:r>
              <w:rPr>
                <w:rFonts w:hint="default" w:ascii="Times New Roman" w:hAnsi="Times New Roman" w:cs="Times New Roman"/>
                <w:b w:val="0"/>
                <w:i w:val="0"/>
                <w:iCs w:val="0"/>
                <w:color w:val="000000"/>
                <w:kern w:val="0"/>
                <w:sz w:val="21"/>
                <w:szCs w:val="21"/>
                <w:u w:val="none"/>
                <w:lang w:val="en-US" w:eastAsia="zh-CN" w:bidi="ar"/>
              </w:rPr>
              <w:t>：a)危险因素控制：</w:t>
            </w:r>
            <w:r>
              <w:rPr>
                <w:rFonts w:hint="default" w:ascii="Times New Roman" w:hAnsi="Times New Roman" w:eastAsia="宋体" w:cs="Times New Roman"/>
                <w:b w:val="0"/>
                <w:i w:val="0"/>
                <w:iCs w:val="0"/>
                <w:color w:val="000000"/>
                <w:kern w:val="0"/>
                <w:sz w:val="21"/>
                <w:szCs w:val="21"/>
                <w:u w:val="none"/>
                <w:lang w:val="en-US" w:eastAsia="zh-CN" w:bidi="ar"/>
              </w:rPr>
              <w:t>系统筛查与管理高血压、糖尿病、血脂异常、高同型半胱氨酸血症等，并使其达标。</w:t>
            </w:r>
          </w:p>
          <w:p w14:paraId="550AD16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b) </w:t>
            </w:r>
            <w:r>
              <w:rPr>
                <w:rFonts w:hint="default" w:ascii="Times New Roman" w:hAnsi="Times New Roman" w:eastAsia="宋体" w:cs="Times New Roman"/>
                <w:b w:val="0"/>
                <w:i w:val="0"/>
                <w:iCs w:val="0"/>
                <w:color w:val="000000"/>
                <w:kern w:val="0"/>
                <w:sz w:val="21"/>
                <w:szCs w:val="21"/>
                <w:u w:val="none"/>
                <w:lang w:val="en-US" w:eastAsia="zh-CN" w:bidi="ar"/>
              </w:rPr>
              <w:t>健康生活方式倡导：倡导规律身体活动、维持健康体重、减少静坐时间、彻底戒烟。</w:t>
            </w:r>
          </w:p>
          <w:p w14:paraId="7B339B9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c) </w:t>
            </w:r>
            <w:r>
              <w:rPr>
                <w:rFonts w:hint="default" w:ascii="Times New Roman" w:hAnsi="Times New Roman" w:eastAsia="宋体" w:cs="Times New Roman"/>
                <w:b w:val="0"/>
                <w:i w:val="0"/>
                <w:iCs w:val="0"/>
                <w:color w:val="000000"/>
                <w:kern w:val="0"/>
                <w:sz w:val="21"/>
                <w:szCs w:val="21"/>
                <w:u w:val="none"/>
                <w:lang w:val="en-US" w:eastAsia="zh-CN" w:bidi="ar"/>
              </w:rPr>
              <w:t>合理膳食指导：重点限制钠盐摄入，鼓励增加新鲜蔬菜、水果摄入。</w:t>
            </w:r>
          </w:p>
        </w:tc>
      </w:tr>
      <w:tr w14:paraId="5BE51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2770829E">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left w:val="nil"/>
              <w:right w:val="nil"/>
            </w:tcBorders>
            <w:shd w:val="clear" w:color="auto" w:fill="FFFFFF"/>
            <w:vAlign w:val="top"/>
          </w:tcPr>
          <w:p w14:paraId="0C8D896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06F7004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w:t>
            </w:r>
            <w:r>
              <w:rPr>
                <w:rFonts w:hint="default" w:ascii="Times New Roman" w:hAnsi="Times New Roman" w:cs="Times New Roman"/>
                <w:b w:val="0"/>
                <w:i w:val="0"/>
                <w:iCs w:val="0"/>
                <w:color w:val="000000"/>
                <w:kern w:val="0"/>
                <w:sz w:val="21"/>
                <w:szCs w:val="21"/>
                <w:u w:val="none"/>
                <w:lang w:val="en-US" w:eastAsia="zh-CN" w:bidi="ar"/>
              </w:rPr>
              <w:t>1.</w:t>
            </w:r>
            <w:r>
              <w:rPr>
                <w:rFonts w:hint="default" w:ascii="Times New Roman" w:hAnsi="Times New Roman" w:eastAsia="宋体" w:cs="Times New Roman"/>
                <w:b w:val="0"/>
                <w:i w:val="0"/>
                <w:iCs w:val="0"/>
                <w:color w:val="000000"/>
                <w:kern w:val="0"/>
                <w:sz w:val="21"/>
                <w:szCs w:val="21"/>
                <w:u w:val="none"/>
                <w:lang w:val="en-US" w:eastAsia="zh-CN" w:bidi="ar"/>
              </w:rPr>
              <w:t>2 二级预防（已病患者）</w:t>
            </w:r>
            <w:r>
              <w:rPr>
                <w:rFonts w:hint="default" w:ascii="Times New Roman" w:hAnsi="Times New Roman" w:cs="Times New Roman"/>
                <w:b w:val="0"/>
                <w:i w:val="0"/>
                <w:iCs w:val="0"/>
                <w:color w:val="000000"/>
                <w:kern w:val="0"/>
                <w:sz w:val="21"/>
                <w:szCs w:val="21"/>
                <w:u w:val="none"/>
                <w:lang w:val="en-US" w:eastAsia="zh-CN" w:bidi="ar"/>
              </w:rPr>
              <w:t xml:space="preserve">：a) </w:t>
            </w:r>
            <w:r>
              <w:rPr>
                <w:rFonts w:hint="default" w:ascii="Times New Roman" w:hAnsi="Times New Roman" w:eastAsia="宋体" w:cs="Times New Roman"/>
                <w:b w:val="0"/>
                <w:i w:val="0"/>
                <w:iCs w:val="0"/>
                <w:color w:val="000000"/>
                <w:kern w:val="0"/>
                <w:sz w:val="21"/>
                <w:szCs w:val="21"/>
                <w:u w:val="none"/>
                <w:lang w:val="en-US" w:eastAsia="zh-CN" w:bidi="ar"/>
              </w:rPr>
              <w:t>早期规范化诊治：对患者进行早期、准确的诊断与评估，并启动规范化急性期与长期治疗。</w:t>
            </w:r>
          </w:p>
          <w:p w14:paraId="64580F5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b) </w:t>
            </w:r>
            <w:r>
              <w:rPr>
                <w:rFonts w:hint="default" w:ascii="Times New Roman" w:hAnsi="Times New Roman" w:eastAsia="宋体" w:cs="Times New Roman"/>
                <w:b w:val="0"/>
                <w:i w:val="0"/>
                <w:iCs w:val="0"/>
                <w:color w:val="000000"/>
                <w:kern w:val="0"/>
                <w:sz w:val="21"/>
                <w:szCs w:val="21"/>
                <w:u w:val="none"/>
                <w:lang w:val="en-US" w:eastAsia="zh-CN" w:bidi="ar"/>
              </w:rPr>
              <w:t>个体化药物治疗：依据个体危险因素评估结果，制定并实施针对性药物治疗方案。</w:t>
            </w:r>
          </w:p>
          <w:p w14:paraId="634E3D3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 xml:space="preserve">c) </w:t>
            </w:r>
            <w:r>
              <w:rPr>
                <w:rFonts w:hint="default" w:ascii="Times New Roman" w:hAnsi="Times New Roman" w:eastAsia="宋体" w:cs="Times New Roman"/>
                <w:b w:val="0"/>
                <w:i w:val="0"/>
                <w:iCs w:val="0"/>
                <w:color w:val="000000"/>
                <w:kern w:val="0"/>
                <w:sz w:val="21"/>
                <w:szCs w:val="21"/>
                <w:u w:val="none"/>
                <w:lang w:val="en-US" w:eastAsia="zh-CN" w:bidi="ar"/>
              </w:rPr>
              <w:t>药物与非药物协同：在药物治疗基础上，强化患者生活方式干预的依从性。</w:t>
            </w:r>
          </w:p>
        </w:tc>
      </w:tr>
      <w:tr w14:paraId="7F4B7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202" w:type="pct"/>
            <w:vMerge w:val="continue"/>
            <w:tcBorders>
              <w:left w:val="nil"/>
              <w:right w:val="nil"/>
            </w:tcBorders>
            <w:shd w:val="clear" w:color="auto" w:fill="FFFFFF"/>
            <w:vAlign w:val="top"/>
          </w:tcPr>
          <w:p w14:paraId="37255B39">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left w:val="nil"/>
              <w:bottom w:val="nil"/>
              <w:right w:val="nil"/>
            </w:tcBorders>
            <w:shd w:val="clear" w:color="auto" w:fill="FFFFFF"/>
            <w:vAlign w:val="top"/>
          </w:tcPr>
          <w:p w14:paraId="5D1AFE6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72C09F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eastAsia="宋体" w:cs="Times New Roman"/>
                <w:b w:val="0"/>
                <w:i w:val="0"/>
                <w:iCs w:val="0"/>
                <w:color w:val="000000"/>
                <w:kern w:val="0"/>
                <w:sz w:val="21"/>
                <w:szCs w:val="21"/>
                <w:u w:val="none"/>
                <w:lang w:val="en-US" w:eastAsia="zh-CN" w:bidi="ar"/>
              </w:rPr>
              <w:t>1.</w:t>
            </w:r>
            <w:r>
              <w:rPr>
                <w:rFonts w:hint="default" w:ascii="Times New Roman" w:hAnsi="Times New Roman" w:cs="Times New Roman"/>
                <w:b w:val="0"/>
                <w:i w:val="0"/>
                <w:iCs w:val="0"/>
                <w:color w:val="000000"/>
                <w:kern w:val="0"/>
                <w:sz w:val="21"/>
                <w:szCs w:val="21"/>
                <w:u w:val="none"/>
                <w:lang w:val="en-US" w:eastAsia="zh-CN" w:bidi="ar"/>
              </w:rPr>
              <w:t>1.</w:t>
            </w:r>
            <w:r>
              <w:rPr>
                <w:rFonts w:hint="default" w:ascii="Times New Roman" w:hAnsi="Times New Roman" w:eastAsia="宋体" w:cs="Times New Roman"/>
                <w:b w:val="0"/>
                <w:i w:val="0"/>
                <w:iCs w:val="0"/>
                <w:color w:val="000000"/>
                <w:kern w:val="0"/>
                <w:sz w:val="21"/>
                <w:szCs w:val="21"/>
                <w:u w:val="none"/>
                <w:lang w:val="en-US" w:eastAsia="zh-CN" w:bidi="ar"/>
              </w:rPr>
              <w:t>3</w:t>
            </w:r>
            <w:r>
              <w:rPr>
                <w:rFonts w:hint="default" w:ascii="Times New Roman" w:hAnsi="Times New Roman" w:cs="Times New Roman"/>
                <w:b w:val="0"/>
                <w:i w:val="0"/>
                <w:iCs w:val="0"/>
                <w:color w:val="000000"/>
                <w:kern w:val="0"/>
                <w:sz w:val="21"/>
                <w:szCs w:val="21"/>
                <w:u w:val="none"/>
                <w:lang w:val="en-US" w:eastAsia="zh-CN" w:bidi="ar"/>
              </w:rPr>
              <w:t xml:space="preserve"> </w:t>
            </w:r>
            <w:r>
              <w:rPr>
                <w:rFonts w:hint="default" w:ascii="Times New Roman" w:hAnsi="Times New Roman" w:eastAsia="宋体" w:cs="Times New Roman"/>
                <w:b w:val="0"/>
                <w:i w:val="0"/>
                <w:iCs w:val="0"/>
                <w:color w:val="000000"/>
                <w:kern w:val="0"/>
                <w:sz w:val="21"/>
                <w:szCs w:val="21"/>
                <w:u w:val="none"/>
                <w:lang w:val="en-US" w:eastAsia="zh-CN" w:bidi="ar"/>
              </w:rPr>
              <w:t>三级预防（后遗症患者）</w:t>
            </w:r>
            <w:r>
              <w:rPr>
                <w:rFonts w:hint="default" w:ascii="Times New Roman" w:hAnsi="Times New Roman" w:cs="Times New Roman"/>
                <w:b w:val="0"/>
                <w:i w:val="0"/>
                <w:iCs w:val="0"/>
                <w:color w:val="000000"/>
                <w:kern w:val="0"/>
                <w:sz w:val="21"/>
                <w:szCs w:val="21"/>
                <w:u w:val="none"/>
                <w:lang w:val="en-US" w:eastAsia="zh-CN" w:bidi="ar"/>
              </w:rPr>
              <w:t>：a)</w:t>
            </w:r>
            <w:r>
              <w:rPr>
                <w:rFonts w:hint="default" w:ascii="Times New Roman" w:hAnsi="Times New Roman" w:eastAsia="宋体" w:cs="Times New Roman"/>
                <w:b w:val="0"/>
                <w:i w:val="0"/>
                <w:iCs w:val="0"/>
                <w:color w:val="000000"/>
                <w:kern w:val="0"/>
                <w:sz w:val="21"/>
                <w:szCs w:val="21"/>
                <w:u w:val="none"/>
                <w:lang w:val="en-US" w:eastAsia="zh-CN" w:bidi="ar"/>
              </w:rPr>
              <w:t>个体化康复计划：制定与实施个体化、阶段性的康复治疗计划。</w:t>
            </w:r>
          </w:p>
          <w:p w14:paraId="1E5B87A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kern w:val="0"/>
                <w:sz w:val="21"/>
                <w:szCs w:val="21"/>
                <w:u w:val="none"/>
                <w:lang w:val="en-US" w:eastAsia="zh-CN" w:bidi="ar"/>
              </w:rPr>
            </w:pPr>
            <w:r>
              <w:rPr>
                <w:rFonts w:hint="default" w:ascii="Times New Roman" w:hAnsi="Times New Roman" w:cs="Times New Roman"/>
                <w:b w:val="0"/>
                <w:i w:val="0"/>
                <w:iCs w:val="0"/>
                <w:color w:val="000000"/>
                <w:kern w:val="0"/>
                <w:sz w:val="21"/>
                <w:szCs w:val="21"/>
                <w:u w:val="none"/>
                <w:lang w:val="en-US" w:eastAsia="zh-CN" w:bidi="ar"/>
              </w:rPr>
              <w:t>b)</w:t>
            </w:r>
            <w:r>
              <w:rPr>
                <w:rFonts w:hint="default" w:ascii="Times New Roman" w:hAnsi="Times New Roman" w:eastAsia="宋体" w:cs="Times New Roman"/>
                <w:b w:val="0"/>
                <w:i w:val="0"/>
                <w:iCs w:val="0"/>
                <w:color w:val="000000"/>
                <w:kern w:val="0"/>
                <w:sz w:val="21"/>
                <w:szCs w:val="21"/>
                <w:u w:val="none"/>
                <w:lang w:val="en-US" w:eastAsia="zh-CN" w:bidi="ar"/>
              </w:rPr>
              <w:t>系统专业护理：提供系统、专业的护理支持，预防继发性功能损害与病情加重。</w:t>
            </w:r>
          </w:p>
        </w:tc>
      </w:tr>
      <w:tr w14:paraId="24C82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202" w:type="pct"/>
            <w:vMerge w:val="restart"/>
            <w:tcBorders>
              <w:top w:val="nil"/>
              <w:left w:val="nil"/>
              <w:right w:val="nil"/>
            </w:tcBorders>
            <w:shd w:val="clear" w:color="auto" w:fill="FFFFFF"/>
            <w:vAlign w:val="top"/>
          </w:tcPr>
          <w:p w14:paraId="147FB54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 早期筛查</w:t>
            </w:r>
          </w:p>
        </w:tc>
        <w:tc>
          <w:tcPr>
            <w:tcW w:w="1489" w:type="pct"/>
            <w:vMerge w:val="restart"/>
            <w:tcBorders>
              <w:top w:val="nil"/>
              <w:left w:val="nil"/>
              <w:bottom w:val="nil"/>
              <w:right w:val="nil"/>
            </w:tcBorders>
            <w:shd w:val="clear" w:color="auto" w:fill="FFFFFF"/>
            <w:vAlign w:val="top"/>
          </w:tcPr>
          <w:p w14:paraId="5BF5CA9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 筛查组织与对象</w:t>
            </w:r>
          </w:p>
        </w:tc>
        <w:tc>
          <w:tcPr>
            <w:tcW w:w="2307" w:type="pct"/>
            <w:tcBorders>
              <w:top w:val="nil"/>
              <w:left w:val="nil"/>
              <w:bottom w:val="nil"/>
              <w:right w:val="nil"/>
            </w:tcBorders>
            <w:shd w:val="clear" w:color="auto" w:fill="FFFFFF"/>
            <w:vAlign w:val="top"/>
          </w:tcPr>
          <w:p w14:paraId="31AB076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2.1.1 目标人群界定：针对40岁及以上社区常住居民开展脑卒中风险筛查。</w:t>
            </w:r>
          </w:p>
        </w:tc>
      </w:tr>
      <w:tr w14:paraId="72C15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0AB87A39">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5489D70F">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2FB350A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2.1.2 实施主体与职责：以社区卫生服务中心为主体，在疾控机构指导下完成筛查建档、风险评估及数据上报。</w:t>
            </w:r>
          </w:p>
        </w:tc>
      </w:tr>
      <w:tr w14:paraId="34593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1202" w:type="pct"/>
            <w:vMerge w:val="continue"/>
            <w:tcBorders>
              <w:left w:val="nil"/>
              <w:right w:val="nil"/>
            </w:tcBorders>
            <w:shd w:val="clear" w:color="auto" w:fill="FFFFFF"/>
            <w:vAlign w:val="top"/>
          </w:tcPr>
          <w:p w14:paraId="240CC0F4">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406BA9D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 危险因素评估与分层</w:t>
            </w:r>
          </w:p>
        </w:tc>
        <w:tc>
          <w:tcPr>
            <w:tcW w:w="2307" w:type="pct"/>
            <w:tcBorders>
              <w:top w:val="nil"/>
              <w:left w:val="nil"/>
              <w:bottom w:val="nil"/>
              <w:right w:val="nil"/>
            </w:tcBorders>
            <w:shd w:val="clear" w:color="auto" w:fill="FFFFFF"/>
            <w:vAlign w:val="top"/>
          </w:tcPr>
          <w:p w14:paraId="266F038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2.2.1 核心危险因素收集：至少包括高血压、房颤、吸烟、血脂异常、糖尿病、缺乏运动、肥胖、卵圆孔未闭、脑卒中家族史或个人史等9项。</w:t>
            </w:r>
          </w:p>
        </w:tc>
      </w:tr>
      <w:tr w14:paraId="2C4BD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1" w:hRule="atLeast"/>
        </w:trPr>
        <w:tc>
          <w:tcPr>
            <w:tcW w:w="1202" w:type="pct"/>
            <w:vMerge w:val="continue"/>
            <w:tcBorders>
              <w:left w:val="nil"/>
              <w:right w:val="nil"/>
            </w:tcBorders>
            <w:shd w:val="clear" w:color="auto" w:fill="FFFFFF"/>
            <w:vAlign w:val="top"/>
          </w:tcPr>
          <w:p w14:paraId="53E75EF2">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EE2B3BF">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7D3361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2.2.2 风险等级判定：根据危险因素数量及慢性病史，将人群分为高危（≥3项或TIA/卒中史）、中危（&lt;3项但患慢性病）、低危（&lt;3项且无慢性病）。</w:t>
            </w:r>
          </w:p>
        </w:tc>
      </w:tr>
      <w:tr w14:paraId="396B5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26D8B958">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481A2BF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 筛查随访与社区管理</w:t>
            </w:r>
          </w:p>
        </w:tc>
        <w:tc>
          <w:tcPr>
            <w:tcW w:w="2307" w:type="pct"/>
            <w:tcBorders>
              <w:top w:val="nil"/>
              <w:left w:val="nil"/>
              <w:bottom w:val="nil"/>
              <w:right w:val="nil"/>
            </w:tcBorders>
            <w:shd w:val="clear" w:color="auto" w:fill="FFFFFF"/>
            <w:vAlign w:val="top"/>
          </w:tcPr>
          <w:p w14:paraId="17ADDFB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2.3.1 高危人群队列管理：社区卫生服务中心负责建立并管理高危人群随访队列，实施长期跟踪、干预与数据管理。</w:t>
            </w:r>
          </w:p>
        </w:tc>
      </w:tr>
      <w:tr w14:paraId="0775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202" w:type="pct"/>
            <w:vMerge w:val="continue"/>
            <w:tcBorders>
              <w:left w:val="nil"/>
              <w:bottom w:val="nil"/>
              <w:right w:val="nil"/>
            </w:tcBorders>
            <w:shd w:val="clear" w:color="auto" w:fill="FFFFFF"/>
            <w:vAlign w:val="top"/>
          </w:tcPr>
          <w:p w14:paraId="06C52319">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79865510">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AAB714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2.3.2 质量督导：疾病预防控制部门对筛查与随访数据的完整性、覆盖质量进行督导。</w:t>
            </w:r>
          </w:p>
        </w:tc>
      </w:tr>
      <w:tr w14:paraId="6C04A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6E269E9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 分级管理</w:t>
            </w:r>
          </w:p>
        </w:tc>
        <w:tc>
          <w:tcPr>
            <w:tcW w:w="1489" w:type="pct"/>
            <w:vMerge w:val="restart"/>
            <w:tcBorders>
              <w:top w:val="nil"/>
              <w:left w:val="nil"/>
              <w:bottom w:val="nil"/>
              <w:right w:val="nil"/>
            </w:tcBorders>
            <w:shd w:val="clear" w:color="auto" w:fill="FFFFFF"/>
            <w:vAlign w:val="top"/>
          </w:tcPr>
          <w:p w14:paraId="149A6CA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3.1 </w:t>
            </w:r>
            <w:r>
              <w:rPr>
                <w:rFonts w:hint="default" w:ascii="Times New Roman" w:hAnsi="Times New Roman" w:cs="Times New Roman"/>
                <w:b w:val="0"/>
                <w:i w:val="0"/>
                <w:iCs w:val="0"/>
                <w:color w:val="000000"/>
                <w:kern w:val="0"/>
                <w:sz w:val="21"/>
                <w:szCs w:val="21"/>
                <w:u w:val="none"/>
                <w:lang w:val="en-US" w:eastAsia="zh-CN" w:bidi="ar"/>
              </w:rPr>
              <w:t>风险</w:t>
            </w:r>
            <w:r>
              <w:rPr>
                <w:rFonts w:hint="default" w:ascii="Times New Roman" w:hAnsi="Times New Roman" w:eastAsia="宋体" w:cs="Times New Roman"/>
                <w:b w:val="0"/>
                <w:i w:val="0"/>
                <w:iCs w:val="0"/>
                <w:color w:val="000000"/>
                <w:kern w:val="0"/>
                <w:sz w:val="21"/>
                <w:szCs w:val="21"/>
                <w:u w:val="none"/>
                <w:lang w:val="en-US" w:eastAsia="zh-CN" w:bidi="ar"/>
              </w:rPr>
              <w:t>分层干预</w:t>
            </w:r>
          </w:p>
        </w:tc>
        <w:tc>
          <w:tcPr>
            <w:tcW w:w="2307" w:type="pct"/>
            <w:tcBorders>
              <w:top w:val="nil"/>
              <w:left w:val="nil"/>
              <w:bottom w:val="nil"/>
              <w:right w:val="nil"/>
            </w:tcBorders>
            <w:shd w:val="clear" w:color="auto" w:fill="FFFFFF"/>
            <w:vAlign w:val="top"/>
          </w:tcPr>
          <w:p w14:paraId="4510810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3.1.1 中低危人群干预：以社区卫生服务机构为主，实施以健康教育为核心的生活方式干预。</w:t>
            </w:r>
          </w:p>
        </w:tc>
      </w:tr>
      <w:tr w14:paraId="251E2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12CC3C02">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7BBA9FD5">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0FE0752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3.1.2 中高危人群转诊：经全科医师初筛后，根据病情转诊至专科进行诊断评估与方案制定，稳定后回转社区管理。</w:t>
            </w:r>
          </w:p>
        </w:tc>
      </w:tr>
      <w:tr w14:paraId="645C8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91" w:hRule="atLeast"/>
        </w:trPr>
        <w:tc>
          <w:tcPr>
            <w:tcW w:w="1202" w:type="pct"/>
            <w:vMerge w:val="continue"/>
            <w:tcBorders>
              <w:left w:val="nil"/>
              <w:right w:val="nil"/>
            </w:tcBorders>
            <w:shd w:val="clear" w:color="auto" w:fill="FFFFFF"/>
            <w:vAlign w:val="top"/>
          </w:tcPr>
          <w:p w14:paraId="1138A111">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6E48DB9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 康复转诊机制</w:t>
            </w:r>
          </w:p>
        </w:tc>
        <w:tc>
          <w:tcPr>
            <w:tcW w:w="2307" w:type="pct"/>
            <w:tcBorders>
              <w:top w:val="nil"/>
              <w:left w:val="nil"/>
              <w:bottom w:val="nil"/>
              <w:right w:val="nil"/>
            </w:tcBorders>
            <w:shd w:val="clear" w:color="auto" w:fill="FFFFFF"/>
            <w:vAlign w:val="top"/>
          </w:tcPr>
          <w:p w14:paraId="0F12417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3.2.1 转诊至康复机构标准：生命体征平稳&gt;72小时，急性期治疗完成，病情稳定但仍存在中重度功能障碍，预计可通过系统康复进一步改善。</w:t>
            </w:r>
          </w:p>
        </w:tc>
      </w:tr>
      <w:tr w14:paraId="0B91C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289F59C4">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3C9F7DDF">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1058BC3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3.2.2 转诊至社区/家庭标准：生命体征平稳，临床指标稳定，无急性并发症，仅需维持性康复训练。</w:t>
            </w:r>
          </w:p>
        </w:tc>
      </w:tr>
      <w:tr w14:paraId="02044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bottom w:val="nil"/>
              <w:right w:val="nil"/>
            </w:tcBorders>
            <w:shd w:val="clear" w:color="auto" w:fill="FFFFFF"/>
            <w:vAlign w:val="top"/>
          </w:tcPr>
          <w:p w14:paraId="598F09E2">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137FBE2B">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27229CD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3.2.3 转回综合医院标准：出现新发或加重严重病情、意识水平下降、多器官功能不全、严重精神行为异常等。</w:t>
            </w:r>
          </w:p>
        </w:tc>
      </w:tr>
      <w:tr w14:paraId="350E6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4DC4A19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 规范治疗</w:t>
            </w:r>
          </w:p>
        </w:tc>
        <w:tc>
          <w:tcPr>
            <w:tcW w:w="1489" w:type="pct"/>
            <w:vMerge w:val="restart"/>
            <w:tcBorders>
              <w:top w:val="nil"/>
              <w:left w:val="nil"/>
              <w:bottom w:val="nil"/>
              <w:right w:val="nil"/>
            </w:tcBorders>
            <w:shd w:val="clear" w:color="auto" w:fill="FFFFFF"/>
            <w:vAlign w:val="top"/>
          </w:tcPr>
          <w:p w14:paraId="1EBF5D5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 急性期治疗性康复介入</w:t>
            </w:r>
          </w:p>
        </w:tc>
        <w:tc>
          <w:tcPr>
            <w:tcW w:w="2307" w:type="pct"/>
            <w:tcBorders>
              <w:top w:val="nil"/>
              <w:left w:val="nil"/>
              <w:bottom w:val="nil"/>
              <w:right w:val="nil"/>
            </w:tcBorders>
            <w:shd w:val="clear" w:color="auto" w:fill="FFFFFF"/>
            <w:vAlign w:val="top"/>
          </w:tcPr>
          <w:p w14:paraId="50D908E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4.1.1 介入时机：生命体征及神经症状稳定后尽早启动，适宜时间为发病后12至48小时，持续至急性期（发病后14天内）。</w:t>
            </w:r>
          </w:p>
        </w:tc>
      </w:tr>
      <w:tr w14:paraId="2EA2F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bottom w:val="nil"/>
              <w:right w:val="nil"/>
            </w:tcBorders>
            <w:shd w:val="clear" w:color="auto" w:fill="FFFFFF"/>
            <w:vAlign w:val="top"/>
          </w:tcPr>
          <w:p w14:paraId="173EBC5F">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1D5C7A4">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4265ADB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4.1.2 介入内容：系统性包含基础功能支持、肢体功能维护、认知/吞咽/言语功能评估、运动感觉功能干预、并发症预防、心理状态关注等。</w:t>
            </w:r>
          </w:p>
        </w:tc>
      </w:tr>
      <w:tr w14:paraId="19A93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27DFBBE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 功能康复</w:t>
            </w:r>
          </w:p>
        </w:tc>
        <w:tc>
          <w:tcPr>
            <w:tcW w:w="1489" w:type="pct"/>
            <w:vMerge w:val="restart"/>
            <w:tcBorders>
              <w:top w:val="nil"/>
              <w:left w:val="nil"/>
              <w:bottom w:val="nil"/>
              <w:right w:val="nil"/>
            </w:tcBorders>
            <w:shd w:val="clear" w:color="auto" w:fill="FFFFFF"/>
            <w:vAlign w:val="top"/>
          </w:tcPr>
          <w:p w14:paraId="46CED28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 恢复期康复管理</w:t>
            </w:r>
          </w:p>
        </w:tc>
        <w:tc>
          <w:tcPr>
            <w:tcW w:w="2307" w:type="pct"/>
            <w:tcBorders>
              <w:top w:val="nil"/>
              <w:left w:val="nil"/>
              <w:bottom w:val="nil"/>
              <w:right w:val="nil"/>
            </w:tcBorders>
            <w:shd w:val="clear" w:color="auto" w:fill="FFFFFF"/>
            <w:vAlign w:val="top"/>
          </w:tcPr>
          <w:p w14:paraId="21B3874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5.1.1 标准化康复流程：包括初期评定、专业评定、计划制定与实施、定期再评估与转介。</w:t>
            </w:r>
          </w:p>
        </w:tc>
      </w:tr>
      <w:tr w14:paraId="2F108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3DC3DFF6">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B33585C">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563ABEC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5.1.2 主要康复训练内容：聚焦功能性恢复与日常生活活动能力，包括平衡、转移、步行、ADL训练、辅助器具使用等。</w:t>
            </w:r>
          </w:p>
        </w:tc>
      </w:tr>
      <w:tr w14:paraId="4B4FA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018C573E">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2F2CB42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 社区与家庭康复管理</w:t>
            </w:r>
          </w:p>
        </w:tc>
        <w:tc>
          <w:tcPr>
            <w:tcW w:w="2307" w:type="pct"/>
            <w:tcBorders>
              <w:top w:val="nil"/>
              <w:left w:val="nil"/>
              <w:bottom w:val="nil"/>
              <w:right w:val="nil"/>
            </w:tcBorders>
            <w:shd w:val="clear" w:color="auto" w:fill="FFFFFF"/>
            <w:vAlign w:val="top"/>
          </w:tcPr>
          <w:p w14:paraId="3F97D54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5.2.1 职责与衔接：明确上级康复医师、社区康复医师及家庭康复指导的职责与工作衔接要求。</w:t>
            </w:r>
          </w:p>
        </w:tc>
      </w:tr>
      <w:tr w14:paraId="118A8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52D3129E">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59010970">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241FB09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5.2.2 康复要点：重点关注居家环境改造、长期心理支持、ADL能力维持、移动辅具使用、康复工程产品应用等。</w:t>
            </w:r>
          </w:p>
        </w:tc>
      </w:tr>
      <w:tr w14:paraId="6EF08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73E8FB2C">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18293FCB">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 专项康复治疗</w:t>
            </w:r>
          </w:p>
        </w:tc>
        <w:tc>
          <w:tcPr>
            <w:tcW w:w="2307" w:type="pct"/>
            <w:tcBorders>
              <w:top w:val="nil"/>
              <w:left w:val="nil"/>
              <w:bottom w:val="nil"/>
              <w:right w:val="nil"/>
            </w:tcBorders>
            <w:shd w:val="clear" w:color="auto" w:fill="FFFFFF"/>
            <w:vAlign w:val="top"/>
          </w:tcPr>
          <w:p w14:paraId="249E0B0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5.3.1 物理治疗：包括急性期良肢位摆放、关节活动度维持、体位适应性训练、恢复期运动控制与步行训练等。</w:t>
            </w:r>
          </w:p>
        </w:tc>
      </w:tr>
      <w:tr w14:paraId="0B95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202" w:type="pct"/>
            <w:vMerge w:val="continue"/>
            <w:tcBorders>
              <w:left w:val="nil"/>
              <w:right w:val="nil"/>
            </w:tcBorders>
            <w:shd w:val="clear" w:color="auto" w:fill="FFFFFF"/>
            <w:vAlign w:val="top"/>
          </w:tcPr>
          <w:p w14:paraId="1B37BA55">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39D84DF0">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3B5A35B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5.3.2 作业治疗：包括作业性手功能训练、精细动作训练、日常生活活动能力训练。</w:t>
            </w:r>
          </w:p>
        </w:tc>
      </w:tr>
      <w:tr w14:paraId="44126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1202" w:type="pct"/>
            <w:vMerge w:val="continue"/>
            <w:tcBorders>
              <w:left w:val="nil"/>
              <w:bottom w:val="nil"/>
              <w:right w:val="nil"/>
            </w:tcBorders>
            <w:shd w:val="clear" w:color="auto" w:fill="FFFFFF"/>
            <w:vAlign w:val="top"/>
          </w:tcPr>
          <w:p w14:paraId="35BAC833">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nil"/>
              <w:right w:val="nil"/>
            </w:tcBorders>
            <w:shd w:val="clear" w:color="auto" w:fill="FFFFFF"/>
            <w:vAlign w:val="top"/>
          </w:tcPr>
          <w:p w14:paraId="2885AC58">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nil"/>
              <w:right w:val="nil"/>
            </w:tcBorders>
            <w:shd w:val="clear" w:color="auto" w:fill="FFFFFF"/>
            <w:vAlign w:val="top"/>
          </w:tcPr>
          <w:p w14:paraId="64E6EE6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5.3.3 言语治疗：针对语言/言语障碍及吞咽障碍进行评估与治疗。</w:t>
            </w:r>
          </w:p>
        </w:tc>
      </w:tr>
      <w:tr w14:paraId="61D1B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9" w:hRule="atLeast"/>
        </w:trPr>
        <w:tc>
          <w:tcPr>
            <w:tcW w:w="1202" w:type="pct"/>
            <w:vMerge w:val="restart"/>
            <w:tcBorders>
              <w:top w:val="nil"/>
              <w:left w:val="nil"/>
              <w:right w:val="nil"/>
            </w:tcBorders>
            <w:shd w:val="clear" w:color="auto" w:fill="FFFFFF"/>
            <w:vAlign w:val="top"/>
          </w:tcPr>
          <w:p w14:paraId="29CBAFC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 长期护理</w:t>
            </w:r>
          </w:p>
        </w:tc>
        <w:tc>
          <w:tcPr>
            <w:tcW w:w="1489" w:type="pct"/>
            <w:tcBorders>
              <w:top w:val="nil"/>
              <w:left w:val="nil"/>
              <w:bottom w:val="nil"/>
              <w:right w:val="nil"/>
            </w:tcBorders>
            <w:shd w:val="clear" w:color="auto" w:fill="FFFFFF"/>
            <w:vAlign w:val="top"/>
          </w:tcPr>
          <w:p w14:paraId="4C86664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 康复护理原则与实施</w:t>
            </w:r>
          </w:p>
        </w:tc>
        <w:tc>
          <w:tcPr>
            <w:tcW w:w="2307" w:type="pct"/>
            <w:tcBorders>
              <w:top w:val="nil"/>
              <w:left w:val="nil"/>
              <w:bottom w:val="nil"/>
              <w:right w:val="nil"/>
            </w:tcBorders>
            <w:shd w:val="clear" w:color="auto" w:fill="FFFFFF"/>
            <w:vAlign w:val="top"/>
          </w:tcPr>
          <w:p w14:paraId="00F6AA6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6.1.1 康复护理核心理念：遵循促进自我护理、实施协同护理、贯穿功能性训练的原则。</w:t>
            </w:r>
          </w:p>
        </w:tc>
      </w:tr>
      <w:tr w14:paraId="70E4C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5DB12928">
            <w:pPr>
              <w:jc w:val="both"/>
              <w:outlineLvl w:val="9"/>
              <w:rPr>
                <w:rFonts w:hint="default" w:ascii="Times New Roman" w:hAnsi="Times New Roman" w:eastAsia="宋体" w:cs="Times New Roman"/>
                <w:b w:val="0"/>
                <w:i w:val="0"/>
                <w:iCs w:val="0"/>
                <w:color w:val="000000"/>
                <w:sz w:val="21"/>
                <w:szCs w:val="21"/>
                <w:u w:val="none"/>
              </w:rPr>
            </w:pPr>
          </w:p>
        </w:tc>
        <w:tc>
          <w:tcPr>
            <w:tcW w:w="1489" w:type="pct"/>
            <w:tcBorders>
              <w:top w:val="nil"/>
              <w:left w:val="nil"/>
              <w:bottom w:val="nil"/>
              <w:right w:val="nil"/>
            </w:tcBorders>
            <w:shd w:val="clear" w:color="auto" w:fill="FFFFFF"/>
            <w:vAlign w:val="top"/>
          </w:tcPr>
          <w:p w14:paraId="7F36F3F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 系统化健康教育</w:t>
            </w:r>
          </w:p>
        </w:tc>
        <w:tc>
          <w:tcPr>
            <w:tcW w:w="2307" w:type="pct"/>
            <w:tcBorders>
              <w:top w:val="nil"/>
              <w:left w:val="nil"/>
              <w:bottom w:val="nil"/>
              <w:right w:val="nil"/>
            </w:tcBorders>
            <w:shd w:val="clear" w:color="auto" w:fill="FFFFFF"/>
            <w:vAlign w:val="top"/>
          </w:tcPr>
          <w:p w14:paraId="3D461BF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6.2.1 健康教育实施要点：教育应贯穿全程、内容全面准确、形式多样、个体化、聚焦自我管理、强化理解记忆、持续督导。</w:t>
            </w:r>
          </w:p>
        </w:tc>
      </w:tr>
      <w:tr w14:paraId="319E3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1202" w:type="pct"/>
            <w:vMerge w:val="continue"/>
            <w:tcBorders>
              <w:left w:val="nil"/>
              <w:right w:val="nil"/>
            </w:tcBorders>
            <w:shd w:val="clear" w:color="auto" w:fill="FFFFFF"/>
            <w:vAlign w:val="top"/>
          </w:tcPr>
          <w:p w14:paraId="403C0616">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restart"/>
            <w:tcBorders>
              <w:top w:val="nil"/>
              <w:left w:val="nil"/>
              <w:bottom w:val="nil"/>
              <w:right w:val="nil"/>
            </w:tcBorders>
            <w:shd w:val="clear" w:color="auto" w:fill="FFFFFF"/>
            <w:vAlign w:val="top"/>
          </w:tcPr>
          <w:p w14:paraId="381121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 专业化康复监护</w:t>
            </w:r>
          </w:p>
        </w:tc>
        <w:tc>
          <w:tcPr>
            <w:tcW w:w="2307" w:type="pct"/>
            <w:tcBorders>
              <w:top w:val="nil"/>
              <w:left w:val="nil"/>
              <w:bottom w:val="nil"/>
              <w:right w:val="nil"/>
            </w:tcBorders>
            <w:shd w:val="clear" w:color="auto" w:fill="FFFFFF"/>
            <w:vAlign w:val="top"/>
          </w:tcPr>
          <w:p w14:paraId="6E6EB12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6.3.1 基础生命体征监护：包括体温、脉搏与心率、呼吸、血压、瞳孔、意识、颅内压的规范监测与干预。</w:t>
            </w:r>
          </w:p>
        </w:tc>
      </w:tr>
      <w:tr w14:paraId="1893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1" w:hRule="atLeast"/>
        </w:trPr>
        <w:tc>
          <w:tcPr>
            <w:tcW w:w="1202" w:type="pct"/>
            <w:vMerge w:val="continue"/>
            <w:tcBorders>
              <w:left w:val="nil"/>
              <w:bottom w:val="single" w:color="000000" w:sz="12" w:space="0"/>
              <w:right w:val="nil"/>
            </w:tcBorders>
            <w:shd w:val="clear" w:color="auto" w:fill="FFFFFF"/>
            <w:vAlign w:val="top"/>
          </w:tcPr>
          <w:p w14:paraId="2F168544">
            <w:pPr>
              <w:jc w:val="both"/>
              <w:outlineLvl w:val="9"/>
              <w:rPr>
                <w:rFonts w:hint="default" w:ascii="Times New Roman" w:hAnsi="Times New Roman" w:eastAsia="宋体" w:cs="Times New Roman"/>
                <w:b w:val="0"/>
                <w:i w:val="0"/>
                <w:iCs w:val="0"/>
                <w:color w:val="000000"/>
                <w:sz w:val="21"/>
                <w:szCs w:val="21"/>
                <w:u w:val="none"/>
              </w:rPr>
            </w:pPr>
          </w:p>
        </w:tc>
        <w:tc>
          <w:tcPr>
            <w:tcW w:w="1489" w:type="pct"/>
            <w:vMerge w:val="continue"/>
            <w:tcBorders>
              <w:top w:val="nil"/>
              <w:left w:val="nil"/>
              <w:bottom w:val="single" w:color="000000" w:sz="12" w:space="0"/>
              <w:right w:val="nil"/>
            </w:tcBorders>
            <w:shd w:val="clear" w:color="auto" w:fill="FFFFFF"/>
            <w:vAlign w:val="top"/>
          </w:tcPr>
          <w:p w14:paraId="38C791C3">
            <w:pPr>
              <w:jc w:val="both"/>
              <w:outlineLvl w:val="9"/>
              <w:rPr>
                <w:rFonts w:hint="default" w:ascii="Times New Roman" w:hAnsi="Times New Roman" w:eastAsia="宋体" w:cs="Times New Roman"/>
                <w:b w:val="0"/>
                <w:i w:val="0"/>
                <w:iCs w:val="0"/>
                <w:color w:val="000000"/>
                <w:sz w:val="21"/>
                <w:szCs w:val="21"/>
                <w:u w:val="none"/>
              </w:rPr>
            </w:pPr>
          </w:p>
        </w:tc>
        <w:tc>
          <w:tcPr>
            <w:tcW w:w="2307" w:type="pct"/>
            <w:tcBorders>
              <w:top w:val="nil"/>
              <w:left w:val="nil"/>
              <w:bottom w:val="single" w:color="000000" w:sz="12" w:space="0"/>
              <w:right w:val="nil"/>
            </w:tcBorders>
            <w:shd w:val="clear" w:color="auto" w:fill="FFFFFF"/>
            <w:vAlign w:val="top"/>
          </w:tcPr>
          <w:p w14:paraId="710F59B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6.3.2 功能与并发症监护：包括压疮风险评估与处理、功能评估（如Barthel指数）、吞咽障碍护理、语言障碍护理、排泄障碍护理等。</w:t>
            </w:r>
          </w:p>
        </w:tc>
      </w:tr>
    </w:tbl>
    <w:p w14:paraId="2AA47741">
      <w:pPr>
        <w:pStyle w:val="59"/>
        <w:spacing w:line="360" w:lineRule="auto"/>
        <w:ind w:left="0" w:leftChars="0" w:firstLine="0" w:firstLineChars="0"/>
        <w:outlineLvl w:val="9"/>
        <w:rPr>
          <w:rFonts w:ascii="Times New Roman"/>
        </w:rPr>
      </w:pPr>
    </w:p>
    <w:p w14:paraId="4DD95A49">
      <w:pPr>
        <w:pStyle w:val="64"/>
        <w:numPr>
          <w:ilvl w:val="1"/>
          <w:numId w:val="0"/>
        </w:numPr>
        <w:adjustRightInd w:val="0"/>
        <w:snapToGrid w:val="0"/>
        <w:spacing w:before="240" w:after="240" w:line="360" w:lineRule="auto"/>
        <w:jc w:val="left"/>
        <w:outlineLvl w:val="9"/>
        <w:rPr>
          <w:rFonts w:hint="default" w:ascii="Times New Roman"/>
          <w:lang w:val="en-US"/>
        </w:rPr>
      </w:pPr>
      <w:r>
        <w:rPr>
          <w:rFonts w:hint="eastAsia" w:hAnsi="黑体" w:cs="黑体"/>
          <w:b/>
          <w:bCs/>
          <w:szCs w:val="21"/>
          <w:lang w:val="en-US" w:eastAsia="zh-CN"/>
        </w:rPr>
        <w:t>5.3 高血压</w:t>
      </w:r>
    </w:p>
    <w:p w14:paraId="224FA623">
      <w:pPr>
        <w:spacing w:line="360" w:lineRule="auto"/>
        <w:outlineLvl w:val="9"/>
        <w:rPr>
          <w:rFonts w:hint="eastAsia" w:ascii="黑体" w:hAnsi="黑体" w:eastAsia="黑体"/>
          <w:color w:val="000000" w:themeColor="text1"/>
          <w:sz w:val="21"/>
          <w:szCs w:val="21"/>
          <w:lang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3.</w:t>
      </w:r>
      <w:r>
        <w:rPr>
          <w:rFonts w:hint="eastAsia" w:ascii="黑体" w:hAnsi="黑体" w:eastAsia="黑体"/>
          <w:color w:val="000000" w:themeColor="text1"/>
          <w:sz w:val="21"/>
          <w:szCs w:val="21"/>
          <w14:textFill>
            <w14:solidFill>
              <w14:schemeClr w14:val="tx1"/>
            </w14:solidFill>
          </w14:textFill>
        </w:rPr>
        <w:t>1 一级</w:t>
      </w:r>
      <w:r>
        <w:rPr>
          <w:rFonts w:hint="eastAsia" w:ascii="黑体" w:hAnsi="黑体" w:eastAsia="黑体"/>
          <w:color w:val="000000" w:themeColor="text1"/>
          <w:sz w:val="21"/>
          <w:szCs w:val="21"/>
          <w:lang w:val="en-US" w:eastAsia="zh-CN"/>
          <w14:textFill>
            <w14:solidFill>
              <w14:schemeClr w14:val="tx1"/>
            </w14:solidFill>
          </w14:textFill>
        </w:rPr>
        <w:t>技术</w:t>
      </w:r>
    </w:p>
    <w:p w14:paraId="711A991C">
      <w:pPr>
        <w:pStyle w:val="59"/>
        <w:spacing w:line="360" w:lineRule="auto"/>
        <w:ind w:firstLine="420"/>
        <w:outlineLvl w:val="9"/>
        <w:rPr>
          <w:rFonts w:ascii="Times New Roman"/>
        </w:rPr>
      </w:pPr>
      <w:r>
        <w:rPr>
          <w:rFonts w:hint="eastAsia" w:ascii="Times New Roman"/>
        </w:rPr>
        <w:t>共6个一级</w:t>
      </w:r>
      <w:r>
        <w:rPr>
          <w:rFonts w:hint="eastAsia" w:ascii="Times New Roman"/>
          <w:lang w:val="en-US" w:eastAsia="zh-CN"/>
        </w:rPr>
        <w:t>技术</w:t>
      </w:r>
      <w:r>
        <w:rPr>
          <w:rFonts w:hint="eastAsia" w:ascii="Times New Roman"/>
        </w:rPr>
        <w:t>，包括预防干预、早期筛查、分级管理、规范治疗、功能康复、长期护理。</w:t>
      </w:r>
    </w:p>
    <w:p w14:paraId="5C0B12A2">
      <w:pPr>
        <w:spacing w:line="360" w:lineRule="auto"/>
        <w:outlineLvl w:val="9"/>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3.</w:t>
      </w:r>
      <w:r>
        <w:rPr>
          <w:rFonts w:hint="eastAsia" w:ascii="黑体" w:hAnsi="黑体" w:eastAsia="黑体"/>
          <w:color w:val="000000" w:themeColor="text1"/>
          <w:sz w:val="21"/>
          <w:szCs w:val="21"/>
          <w14:textFill>
            <w14:solidFill>
              <w14:schemeClr w14:val="tx1"/>
            </w14:solidFill>
          </w14:textFill>
        </w:rPr>
        <w:t>2 二级</w:t>
      </w:r>
      <w:r>
        <w:rPr>
          <w:rFonts w:hint="eastAsia" w:ascii="黑体" w:hAnsi="黑体" w:eastAsia="黑体"/>
          <w:color w:val="000000" w:themeColor="text1"/>
          <w:sz w:val="21"/>
          <w:szCs w:val="21"/>
          <w:lang w:val="en-US" w:eastAsia="zh-CN"/>
          <w14:textFill>
            <w14:solidFill>
              <w14:schemeClr w14:val="tx1"/>
            </w14:solidFill>
          </w14:textFill>
        </w:rPr>
        <w:t>技术</w:t>
      </w:r>
    </w:p>
    <w:p w14:paraId="0CBFC9F4">
      <w:pPr>
        <w:pStyle w:val="59"/>
        <w:spacing w:line="360" w:lineRule="auto"/>
        <w:ind w:firstLine="420"/>
        <w:outlineLvl w:val="9"/>
        <w:rPr>
          <w:rFonts w:hint="eastAsia" w:ascii="Times New Roman"/>
        </w:rPr>
      </w:pPr>
      <w:r>
        <w:rPr>
          <w:rFonts w:hint="eastAsia" w:ascii="Times New Roman"/>
        </w:rPr>
        <w:t>共</w:t>
      </w:r>
      <w:r>
        <w:rPr>
          <w:rFonts w:hint="eastAsia" w:ascii="Times New Roman"/>
          <w:lang w:val="en-US" w:eastAsia="zh-CN"/>
        </w:rPr>
        <w:t>20</w:t>
      </w:r>
      <w:r>
        <w:rPr>
          <w:rFonts w:hint="eastAsia" w:ascii="Times New Roman"/>
        </w:rPr>
        <w:t>个二级</w:t>
      </w:r>
      <w:r>
        <w:rPr>
          <w:rFonts w:hint="eastAsia" w:ascii="Times New Roman"/>
          <w:lang w:val="en-US" w:eastAsia="zh-CN"/>
        </w:rPr>
        <w:t>技术</w:t>
      </w:r>
      <w:r>
        <w:rPr>
          <w:rFonts w:hint="eastAsia" w:ascii="Times New Roman"/>
        </w:rPr>
        <w:t>，包括全民健康促进、重点人群风险干预、高危人群精准防控</w:t>
      </w:r>
      <w:r>
        <w:rPr>
          <w:rFonts w:hint="eastAsia" w:ascii="Times New Roman"/>
          <w:lang w:eastAsia="zh-CN"/>
        </w:rPr>
        <w:t>、</w:t>
      </w:r>
      <w:r>
        <w:rPr>
          <w:rFonts w:hint="eastAsia" w:ascii="Times New Roman"/>
        </w:rPr>
        <w:t>常规筛查与初诊、高危人群强化筛查、</w:t>
      </w:r>
      <w:r>
        <w:rPr>
          <w:rFonts w:hint="eastAsia" w:ascii="Times New Roman"/>
          <w:lang w:val="en-US" w:eastAsia="zh-CN"/>
        </w:rPr>
        <w:t>筛查流程、随访评估</w:t>
      </w:r>
      <w:r>
        <w:rPr>
          <w:rFonts w:hint="eastAsia" w:ascii="Times New Roman"/>
        </w:rPr>
        <w:t>、分类干预与转诊、年度综合评估</w:t>
      </w:r>
      <w:r>
        <w:rPr>
          <w:rFonts w:hint="eastAsia" w:ascii="Times New Roman"/>
          <w:lang w:eastAsia="zh-CN"/>
        </w:rPr>
        <w:t>、</w:t>
      </w:r>
      <w:r>
        <w:rPr>
          <w:rFonts w:hint="eastAsia" w:ascii="Times New Roman"/>
        </w:rPr>
        <w:t>诊断标准、治疗原则、</w:t>
      </w:r>
      <w:r>
        <w:rPr>
          <w:rFonts w:hint="eastAsia" w:ascii="Times New Roman"/>
          <w:lang w:val="en-US" w:eastAsia="zh-CN"/>
        </w:rPr>
        <w:t>治疗目标、治疗方法、转诊指征、治疗随访、血压控制指标、生活方式干预、药物治疗依从性管理、</w:t>
      </w:r>
      <w:r>
        <w:rPr>
          <w:rFonts w:hint="eastAsia" w:ascii="Times New Roman"/>
        </w:rPr>
        <w:t>居家生活照护、用药安全监护、血压规范监测、急症识别与应对。</w:t>
      </w:r>
    </w:p>
    <w:p w14:paraId="3F5E779D">
      <w:pPr>
        <w:spacing w:line="360" w:lineRule="auto"/>
        <w:outlineLvl w:val="9"/>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5</w:t>
      </w:r>
      <w:r>
        <w:rPr>
          <w:rFonts w:hint="eastAsia"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lang w:val="en-US" w:eastAsia="zh-CN"/>
          <w14:textFill>
            <w14:solidFill>
              <w14:schemeClr w14:val="tx1"/>
            </w14:solidFill>
          </w14:textFill>
        </w:rPr>
        <w:t>3.</w:t>
      </w:r>
      <w:r>
        <w:rPr>
          <w:rFonts w:hint="eastAsia" w:ascii="黑体" w:hAnsi="黑体" w:eastAsia="黑体"/>
          <w:color w:val="000000" w:themeColor="text1"/>
          <w:sz w:val="21"/>
          <w:szCs w:val="21"/>
          <w14:textFill>
            <w14:solidFill>
              <w14:schemeClr w14:val="tx1"/>
            </w14:solidFill>
          </w14:textFill>
        </w:rPr>
        <w:t>3 三级</w:t>
      </w:r>
      <w:r>
        <w:rPr>
          <w:rFonts w:hint="eastAsia" w:ascii="黑体" w:hAnsi="黑体" w:eastAsia="黑体"/>
          <w:color w:val="000000" w:themeColor="text1"/>
          <w:sz w:val="21"/>
          <w:szCs w:val="21"/>
          <w:lang w:val="en-US" w:eastAsia="zh-CN"/>
          <w14:textFill>
            <w14:solidFill>
              <w14:schemeClr w14:val="tx1"/>
            </w14:solidFill>
          </w14:textFill>
        </w:rPr>
        <w:t>技术</w:t>
      </w:r>
    </w:p>
    <w:p w14:paraId="37B5899F">
      <w:pPr>
        <w:pStyle w:val="59"/>
        <w:spacing w:line="360" w:lineRule="auto"/>
        <w:ind w:firstLine="420"/>
        <w:outlineLvl w:val="9"/>
        <w:rPr>
          <w:rFonts w:ascii="Times New Roman"/>
        </w:rPr>
      </w:pPr>
      <w:r>
        <w:rPr>
          <w:rFonts w:hint="eastAsia" w:ascii="Times New Roman"/>
          <w:lang w:val="en-US" w:eastAsia="zh-CN"/>
        </w:rPr>
        <w:t>高血压服务</w:t>
      </w:r>
      <w:r>
        <w:rPr>
          <w:rFonts w:hint="eastAsia" w:ascii="Times New Roman"/>
        </w:rPr>
        <w:t>共</w:t>
      </w:r>
      <w:r>
        <w:rPr>
          <w:rFonts w:hint="eastAsia" w:ascii="Times New Roman"/>
          <w:lang w:val="en-US" w:eastAsia="zh-CN"/>
        </w:rPr>
        <w:t>包括47</w:t>
      </w:r>
      <w:r>
        <w:rPr>
          <w:rFonts w:hint="eastAsia" w:ascii="Times New Roman"/>
        </w:rPr>
        <w:t>个三级</w:t>
      </w:r>
      <w:r>
        <w:rPr>
          <w:rFonts w:hint="eastAsia" w:ascii="Times New Roman"/>
          <w:lang w:val="en-US" w:eastAsia="zh-CN"/>
        </w:rPr>
        <w:t>技术</w:t>
      </w:r>
      <w:r>
        <w:rPr>
          <w:rFonts w:hint="eastAsia" w:ascii="Times New Roman"/>
        </w:rPr>
        <w:t>。具体内容见表</w:t>
      </w:r>
      <w:r>
        <w:rPr>
          <w:rFonts w:hint="eastAsia" w:ascii="Times New Roman"/>
          <w:lang w:val="en-US" w:eastAsia="zh-CN"/>
        </w:rPr>
        <w:t>3</w:t>
      </w:r>
      <w:r>
        <w:rPr>
          <w:rFonts w:hint="eastAsia" w:ascii="Times New Roman"/>
        </w:rPr>
        <w:t>。</w:t>
      </w:r>
    </w:p>
    <w:p w14:paraId="7EBF5E55">
      <w:pPr>
        <w:pStyle w:val="59"/>
        <w:spacing w:line="360" w:lineRule="auto"/>
        <w:ind w:firstLine="422"/>
        <w:jc w:val="center"/>
        <w:outlineLvl w:val="9"/>
        <w:rPr>
          <w:rFonts w:hint="default" w:ascii="Times New Roman" w:eastAsia="宋体"/>
          <w:b/>
          <w:bCs/>
          <w:lang w:val="en-US" w:eastAsia="zh-CN"/>
        </w:rPr>
      </w:pPr>
      <w:r>
        <w:rPr>
          <w:rFonts w:hint="eastAsia" w:ascii="Times New Roman"/>
          <w:b/>
          <w:bCs/>
        </w:rPr>
        <w:t xml:space="preserve">表 </w:t>
      </w:r>
      <w:r>
        <w:rPr>
          <w:rFonts w:hint="eastAsia" w:ascii="Times New Roman"/>
          <w:b/>
          <w:bCs/>
          <w:lang w:val="en-US" w:eastAsia="zh-CN"/>
        </w:rPr>
        <w:t>3</w:t>
      </w:r>
      <w:r>
        <w:rPr>
          <w:rFonts w:hint="eastAsia" w:ascii="Times New Roman"/>
          <w:b/>
          <w:bCs/>
        </w:rPr>
        <w:t xml:space="preserve">  </w:t>
      </w:r>
      <w:r>
        <w:rPr>
          <w:rFonts w:hint="eastAsia" w:ascii="Times New Roman"/>
          <w:b/>
          <w:bCs/>
          <w:lang w:val="en-US" w:eastAsia="zh-CN"/>
        </w:rPr>
        <w:t>高血压“防、筛、管、治、康、护”服务技术标准体系</w:t>
      </w:r>
    </w:p>
    <w:tbl>
      <w:tblPr>
        <w:tblStyle w:val="21"/>
        <w:tblW w:w="515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41"/>
        <w:gridCol w:w="2323"/>
        <w:gridCol w:w="5354"/>
      </w:tblGrid>
      <w:tr w14:paraId="3FDF9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67" w:type="pct"/>
            <w:tcBorders>
              <w:top w:val="single" w:color="000000" w:sz="12" w:space="0"/>
              <w:left w:val="nil"/>
              <w:bottom w:val="single" w:color="000000" w:sz="4" w:space="0"/>
              <w:right w:val="nil"/>
              <w:tl2br w:val="nil"/>
            </w:tcBorders>
            <w:shd w:val="clear" w:color="auto" w:fill="FFFFFF"/>
            <w:vAlign w:val="top"/>
          </w:tcPr>
          <w:p w14:paraId="017DBA7F">
            <w:pPr>
              <w:keepNext w:val="0"/>
              <w:keepLines w:val="0"/>
              <w:widowControl/>
              <w:suppressLineNumbers w:val="0"/>
              <w:jc w:val="center"/>
              <w:textAlignment w:val="center"/>
              <w:outlineLvl w:val="9"/>
              <w:rPr>
                <w:rFonts w:hint="default" w:ascii="宋体" w:hAnsi="宋体" w:eastAsia="宋体" w:cs="宋体"/>
                <w:b/>
                <w:bCs/>
                <w:i w:val="0"/>
                <w:iCs w:val="0"/>
                <w:color w:val="000000"/>
                <w:sz w:val="21"/>
                <w:szCs w:val="21"/>
                <w:u w:val="none"/>
                <w:lang w:val="en-US"/>
              </w:rPr>
            </w:pPr>
            <w:r>
              <w:rPr>
                <w:rFonts w:hint="eastAsia" w:ascii="宋体" w:hAnsi="宋体" w:eastAsia="宋体" w:cs="宋体"/>
                <w:b/>
                <w:bCs/>
                <w:i w:val="0"/>
                <w:iCs w:val="0"/>
                <w:color w:val="000000"/>
                <w:kern w:val="0"/>
                <w:sz w:val="21"/>
                <w:szCs w:val="21"/>
                <w:u w:val="none"/>
                <w:lang w:val="en-US" w:eastAsia="zh-CN" w:bidi="ar"/>
              </w:rPr>
              <w:t>一级</w:t>
            </w:r>
            <w:r>
              <w:rPr>
                <w:rFonts w:hint="eastAsia" w:ascii="宋体" w:hAnsi="宋体" w:cs="宋体"/>
                <w:b/>
                <w:bCs/>
                <w:i w:val="0"/>
                <w:iCs w:val="0"/>
                <w:color w:val="000000"/>
                <w:kern w:val="0"/>
                <w:sz w:val="21"/>
                <w:szCs w:val="21"/>
                <w:u w:val="none"/>
                <w:lang w:val="en-US" w:eastAsia="zh-CN" w:bidi="ar"/>
              </w:rPr>
              <w:t>技术</w:t>
            </w:r>
          </w:p>
        </w:tc>
        <w:tc>
          <w:tcPr>
            <w:tcW w:w="1220" w:type="pct"/>
            <w:tcBorders>
              <w:top w:val="single" w:color="000000" w:sz="12" w:space="0"/>
              <w:left w:val="nil"/>
              <w:bottom w:val="single" w:color="000000" w:sz="4" w:space="0"/>
              <w:right w:val="nil"/>
            </w:tcBorders>
            <w:shd w:val="clear" w:color="auto" w:fill="FFFFFF"/>
            <w:vAlign w:val="top"/>
          </w:tcPr>
          <w:p w14:paraId="5ABBEAD2">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二级技术</w:t>
            </w:r>
          </w:p>
        </w:tc>
        <w:tc>
          <w:tcPr>
            <w:tcW w:w="2812" w:type="pct"/>
            <w:tcBorders>
              <w:top w:val="single" w:color="000000" w:sz="12" w:space="0"/>
              <w:left w:val="nil"/>
              <w:bottom w:val="single" w:color="000000" w:sz="4" w:space="0"/>
              <w:right w:val="nil"/>
            </w:tcBorders>
            <w:shd w:val="clear" w:color="auto" w:fill="FFFFFF"/>
            <w:vAlign w:val="top"/>
          </w:tcPr>
          <w:p w14:paraId="0703E62F">
            <w:pPr>
              <w:keepNext w:val="0"/>
              <w:keepLines w:val="0"/>
              <w:widowControl/>
              <w:suppressLineNumbers w:val="0"/>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三级技术</w:t>
            </w:r>
          </w:p>
        </w:tc>
      </w:tr>
      <w:tr w14:paraId="34333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967" w:type="pct"/>
            <w:vMerge w:val="restart"/>
            <w:tcBorders>
              <w:top w:val="single" w:color="000000" w:sz="4" w:space="0"/>
              <w:left w:val="nil"/>
              <w:bottom w:val="nil"/>
              <w:right w:val="nil"/>
            </w:tcBorders>
            <w:shd w:val="clear" w:color="auto" w:fill="FFFFFF"/>
            <w:vAlign w:val="top"/>
          </w:tcPr>
          <w:p w14:paraId="33E514F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 预防干预</w:t>
            </w:r>
          </w:p>
        </w:tc>
        <w:tc>
          <w:tcPr>
            <w:tcW w:w="1220" w:type="pct"/>
            <w:vMerge w:val="restart"/>
            <w:tcBorders>
              <w:top w:val="single" w:color="000000" w:sz="4" w:space="0"/>
              <w:left w:val="nil"/>
              <w:bottom w:val="nil"/>
              <w:right w:val="nil"/>
            </w:tcBorders>
            <w:shd w:val="clear" w:color="auto" w:fill="FFFFFF"/>
            <w:vAlign w:val="top"/>
          </w:tcPr>
          <w:p w14:paraId="2BAF6AC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1.1 </w:t>
            </w:r>
            <w:r>
              <w:rPr>
                <w:rFonts w:hint="default" w:ascii="Times New Roman" w:hAnsi="Times New Roman" w:cs="Times New Roman"/>
              </w:rPr>
              <w:t>全民健康促进</w:t>
            </w:r>
          </w:p>
        </w:tc>
        <w:tc>
          <w:tcPr>
            <w:tcW w:w="2812" w:type="pct"/>
            <w:tcBorders>
              <w:top w:val="single" w:color="000000" w:sz="4" w:space="0"/>
              <w:left w:val="nil"/>
              <w:bottom w:val="nil"/>
              <w:right w:val="nil"/>
            </w:tcBorders>
            <w:shd w:val="clear" w:color="auto" w:fill="FFFFFF"/>
            <w:vAlign w:val="top"/>
          </w:tcPr>
          <w:p w14:paraId="5EE99DC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1.1.1 健康生活方式倡导：倡导健康生活方式，重点控制钠盐摄入与体重管理。</w:t>
            </w:r>
          </w:p>
        </w:tc>
      </w:tr>
      <w:tr w14:paraId="1D0E4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 w:hRule="atLeast"/>
        </w:trPr>
        <w:tc>
          <w:tcPr>
            <w:tcW w:w="967" w:type="pct"/>
            <w:vMerge w:val="continue"/>
            <w:tcBorders>
              <w:top w:val="nil"/>
              <w:left w:val="nil"/>
              <w:bottom w:val="nil"/>
              <w:right w:val="nil"/>
            </w:tcBorders>
            <w:shd w:val="clear" w:color="auto" w:fill="FFFFFF"/>
            <w:vAlign w:val="top"/>
          </w:tcPr>
          <w:p w14:paraId="3480CB76">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CD3A573">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7B79CB8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1.1.2 早期发现与筛查：推动高血压、糖尿病、血脂异常等疾病的早期发现与系统筛查。</w:t>
            </w:r>
          </w:p>
        </w:tc>
      </w:tr>
      <w:tr w14:paraId="61695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405B209E">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7510F9D0">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1F24BBE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1.1.3 健康教育：</w:t>
            </w:r>
            <w:r>
              <w:rPr>
                <w:rFonts w:hint="eastAsia" w:ascii="Times New Roman" w:hAnsi="Times New Roman" w:cs="Times New Roman"/>
                <w:b w:val="0"/>
                <w:i w:val="0"/>
                <w:iCs w:val="0"/>
                <w:color w:val="000000"/>
                <w:kern w:val="0"/>
                <w:sz w:val="21"/>
                <w:szCs w:val="21"/>
                <w:u w:val="none"/>
                <w:lang w:val="en-US" w:eastAsia="zh-CN" w:bidi="ar"/>
              </w:rPr>
              <w:t>宣传</w:t>
            </w:r>
            <w:r>
              <w:rPr>
                <w:rFonts w:hint="default" w:ascii="Times New Roman" w:hAnsi="Times New Roman" w:eastAsia="宋体" w:cs="Times New Roman"/>
                <w:b w:val="0"/>
                <w:i w:val="0"/>
                <w:iCs w:val="0"/>
                <w:color w:val="000000"/>
                <w:kern w:val="0"/>
                <w:sz w:val="21"/>
                <w:szCs w:val="21"/>
                <w:u w:val="none"/>
                <w:lang w:val="en-US" w:eastAsia="zh-CN" w:bidi="ar"/>
              </w:rPr>
              <w:t>“三高共管”</w:t>
            </w:r>
            <w:r>
              <w:rPr>
                <w:rFonts w:hint="eastAsia" w:ascii="Times New Roman" w:hAnsi="Times New Roman" w:cs="Times New Roman"/>
                <w:b w:val="0"/>
                <w:i w:val="0"/>
                <w:iCs w:val="0"/>
                <w:color w:val="000000"/>
                <w:kern w:val="0"/>
                <w:sz w:val="21"/>
                <w:szCs w:val="21"/>
                <w:u w:val="none"/>
                <w:lang w:val="en-US" w:eastAsia="zh-CN" w:bidi="ar"/>
              </w:rPr>
              <w:t>相关内容</w:t>
            </w:r>
            <w:r>
              <w:rPr>
                <w:rFonts w:hint="default" w:ascii="Times New Roman" w:hAnsi="Times New Roman" w:eastAsia="宋体" w:cs="Times New Roman"/>
                <w:b w:val="0"/>
                <w:i w:val="0"/>
                <w:iCs w:val="0"/>
                <w:color w:val="000000"/>
                <w:kern w:val="0"/>
                <w:sz w:val="21"/>
                <w:szCs w:val="21"/>
                <w:u w:val="none"/>
                <w:lang w:val="en-US" w:eastAsia="zh-CN" w:bidi="ar"/>
              </w:rPr>
              <w:t>，利用新媒体、网络直播、公益广告等多种宣教方式。</w:t>
            </w:r>
          </w:p>
        </w:tc>
      </w:tr>
      <w:tr w14:paraId="71DBC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 w:hRule="atLeast"/>
        </w:trPr>
        <w:tc>
          <w:tcPr>
            <w:tcW w:w="967" w:type="pct"/>
            <w:vMerge w:val="continue"/>
            <w:tcBorders>
              <w:top w:val="nil"/>
              <w:left w:val="nil"/>
              <w:bottom w:val="nil"/>
              <w:right w:val="nil"/>
            </w:tcBorders>
            <w:shd w:val="clear" w:color="auto" w:fill="FFFFFF"/>
            <w:vAlign w:val="top"/>
          </w:tcPr>
          <w:p w14:paraId="077F7399">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67DF0CE">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5CC1A50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1.1.4 居民健康管理体系完善：通过多部门协作，推行网格化、契约化、智能化健康管理。</w:t>
            </w:r>
          </w:p>
        </w:tc>
      </w:tr>
      <w:tr w14:paraId="1277D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410C4829">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3BC31789">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A5EE96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1.1.5 场所化干预：针对行政区域、医疗机构、居民社区、工作场所及学校五类场所特点制定并落实干预计划。</w:t>
            </w:r>
          </w:p>
        </w:tc>
      </w:tr>
      <w:tr w14:paraId="44B46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967" w:type="pct"/>
            <w:vMerge w:val="continue"/>
            <w:tcBorders>
              <w:top w:val="nil"/>
              <w:left w:val="nil"/>
              <w:bottom w:val="nil"/>
              <w:right w:val="nil"/>
            </w:tcBorders>
            <w:shd w:val="clear" w:color="auto" w:fill="FFFFFF"/>
            <w:vAlign w:val="top"/>
          </w:tcPr>
          <w:p w14:paraId="45CE0D33">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3B104DC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1.2 </w:t>
            </w:r>
            <w:r>
              <w:rPr>
                <w:rFonts w:hint="default" w:ascii="Times New Roman" w:hAnsi="Times New Roman" w:cs="Times New Roman"/>
              </w:rPr>
              <w:t>重点人群风险干预</w:t>
            </w:r>
          </w:p>
        </w:tc>
        <w:tc>
          <w:tcPr>
            <w:tcW w:w="2812" w:type="pct"/>
            <w:tcBorders>
              <w:top w:val="nil"/>
              <w:left w:val="nil"/>
              <w:bottom w:val="nil"/>
              <w:right w:val="nil"/>
            </w:tcBorders>
            <w:shd w:val="clear" w:color="auto" w:fill="FFFFFF"/>
            <w:vAlign w:val="top"/>
          </w:tcPr>
          <w:p w14:paraId="40B4EA6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1.2.1 易患人群识别：识别血压正常高值、超重/肥胖、长期过量饮酒、高血压家族史、高钠盐饮食、年龄&gt;55岁或更年期女性等指标。</w:t>
            </w:r>
          </w:p>
        </w:tc>
      </w:tr>
      <w:tr w14:paraId="55555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229EC114">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3516BC1E">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2AEA05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1.2.2 定期血压测量：每年至少进行一次血压测量，鼓励家庭自测，筛查结合日常诊疗、体检、年度检查及自助检测点进行。</w:t>
            </w:r>
          </w:p>
        </w:tc>
      </w:tr>
      <w:tr w14:paraId="66CF1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67" w:type="pct"/>
            <w:vMerge w:val="continue"/>
            <w:tcBorders>
              <w:top w:val="nil"/>
              <w:left w:val="nil"/>
              <w:bottom w:val="nil"/>
              <w:right w:val="nil"/>
            </w:tcBorders>
            <w:shd w:val="clear" w:color="auto" w:fill="FFFFFF"/>
            <w:vAlign w:val="top"/>
          </w:tcPr>
          <w:p w14:paraId="46C98E16">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B2C9000">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77BB22D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1.2.3 健康体检与干预：体检内容涵盖问诊、身高、体重、血压、尿常规、血糖、血脂、肾功能和心电图；实施风险因素控制与定期随访，提供针对性生活方式指导。</w:t>
            </w:r>
          </w:p>
        </w:tc>
      </w:tr>
      <w:tr w14:paraId="2DEE6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 w:hRule="atLeast"/>
        </w:trPr>
        <w:tc>
          <w:tcPr>
            <w:tcW w:w="967" w:type="pct"/>
            <w:vMerge w:val="continue"/>
            <w:tcBorders>
              <w:top w:val="nil"/>
              <w:left w:val="nil"/>
              <w:bottom w:val="nil"/>
              <w:right w:val="nil"/>
            </w:tcBorders>
            <w:shd w:val="clear" w:color="auto" w:fill="FFFFFF"/>
            <w:vAlign w:val="top"/>
          </w:tcPr>
          <w:p w14:paraId="14DA6E97">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629C8B0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1.3 </w:t>
            </w:r>
            <w:r>
              <w:rPr>
                <w:rFonts w:hint="default" w:ascii="Times New Roman" w:hAnsi="Times New Roman" w:cs="Times New Roman"/>
              </w:rPr>
              <w:t>高危人群精准防控</w:t>
            </w:r>
          </w:p>
        </w:tc>
        <w:tc>
          <w:tcPr>
            <w:tcW w:w="2812" w:type="pct"/>
            <w:tcBorders>
              <w:top w:val="nil"/>
              <w:left w:val="nil"/>
              <w:bottom w:val="nil"/>
              <w:right w:val="nil"/>
            </w:tcBorders>
            <w:shd w:val="clear" w:color="auto" w:fill="FFFFFF"/>
            <w:vAlign w:val="top"/>
          </w:tcPr>
          <w:p w14:paraId="16DA293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1.3.1 危险分层识别：依据危险分层识别高危与极高危个体。</w:t>
            </w:r>
          </w:p>
        </w:tc>
      </w:tr>
      <w:tr w14:paraId="0EE9C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967" w:type="pct"/>
            <w:vMerge w:val="continue"/>
            <w:tcBorders>
              <w:top w:val="nil"/>
              <w:left w:val="nil"/>
              <w:bottom w:val="nil"/>
              <w:right w:val="nil"/>
            </w:tcBorders>
            <w:shd w:val="clear" w:color="auto" w:fill="FFFFFF"/>
            <w:vAlign w:val="top"/>
          </w:tcPr>
          <w:p w14:paraId="55DA30C5">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51592656">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C9AB2E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1.3.2 定期健康评估：每半年进行一次，内容包括问诊、身高、体重、腰围、血压、心率、尿蛋白/肌酐比值、血糖、血脂、尿酸、肾功能和心电图。</w:t>
            </w:r>
          </w:p>
        </w:tc>
      </w:tr>
      <w:tr w14:paraId="3A59B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20D56061">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2229294">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5BAEF71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1.3.3 个体化干预方案：根据危险分层制定方案，必要时予以抗血小板、抗凝或他汀类药物治疗，并达标管理。</w:t>
            </w:r>
          </w:p>
        </w:tc>
      </w:tr>
      <w:tr w14:paraId="11A80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6BB9C41B">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0752F62">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4BAD5D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1.3.4 定期随访与转诊：对高危个体实行定期随访与生活方式干预；如病情控制不佳，及时转诊至上级医疗机构。</w:t>
            </w:r>
          </w:p>
        </w:tc>
      </w:tr>
      <w:tr w14:paraId="326B5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967" w:type="pct"/>
            <w:vMerge w:val="restart"/>
            <w:tcBorders>
              <w:top w:val="nil"/>
              <w:left w:val="nil"/>
              <w:bottom w:val="nil"/>
              <w:right w:val="nil"/>
            </w:tcBorders>
            <w:shd w:val="clear" w:color="auto" w:fill="FFFFFF"/>
            <w:vAlign w:val="top"/>
          </w:tcPr>
          <w:p w14:paraId="7D01605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 早期筛查</w:t>
            </w:r>
          </w:p>
        </w:tc>
        <w:tc>
          <w:tcPr>
            <w:tcW w:w="1220" w:type="pct"/>
            <w:vMerge w:val="restart"/>
            <w:tcBorders>
              <w:top w:val="nil"/>
              <w:left w:val="nil"/>
              <w:bottom w:val="nil"/>
              <w:right w:val="nil"/>
            </w:tcBorders>
            <w:shd w:val="clear" w:color="auto" w:fill="FFFFFF"/>
            <w:vAlign w:val="top"/>
          </w:tcPr>
          <w:p w14:paraId="5486E23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2.1 </w:t>
            </w:r>
            <w:r>
              <w:rPr>
                <w:rFonts w:hint="default" w:ascii="Times New Roman" w:hAnsi="Times New Roman" w:cs="Times New Roman"/>
              </w:rPr>
              <w:t>常规筛查与初诊</w:t>
            </w:r>
          </w:p>
        </w:tc>
        <w:tc>
          <w:tcPr>
            <w:tcW w:w="2812" w:type="pct"/>
            <w:tcBorders>
              <w:top w:val="nil"/>
              <w:left w:val="nil"/>
              <w:bottom w:val="nil"/>
              <w:right w:val="nil"/>
            </w:tcBorders>
            <w:shd w:val="clear" w:color="auto" w:fill="FFFFFF"/>
            <w:vAlign w:val="top"/>
          </w:tcPr>
          <w:p w14:paraId="4E020AD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2.1.1 常规筛查：对辖区内35岁及以上常住居民，每年至少接受一次血压测量服务（非同日三次测量值作为基准）。</w:t>
            </w:r>
          </w:p>
        </w:tc>
      </w:tr>
      <w:tr w14:paraId="40DC8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967" w:type="pct"/>
            <w:vMerge w:val="continue"/>
            <w:tcBorders>
              <w:top w:val="nil"/>
              <w:left w:val="nil"/>
              <w:bottom w:val="nil"/>
              <w:right w:val="nil"/>
            </w:tcBorders>
            <w:shd w:val="clear" w:color="auto" w:fill="FFFFFF"/>
            <w:vAlign w:val="top"/>
          </w:tcPr>
          <w:p w14:paraId="11635943">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9AB1479">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37C3A56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2.1.2 初步诊断与转诊：首次检出血压升高者，经非同日三次复测均高可作初步诊断，并在2周内转诊至上级医疗机构确诊。确诊者纳入管理，疑似继发性高血压者及时转诊。</w:t>
            </w:r>
          </w:p>
        </w:tc>
      </w:tr>
      <w:tr w14:paraId="61D26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67" w:type="pct"/>
            <w:vMerge w:val="continue"/>
            <w:tcBorders>
              <w:top w:val="nil"/>
              <w:left w:val="nil"/>
              <w:bottom w:val="nil"/>
              <w:right w:val="nil"/>
            </w:tcBorders>
            <w:shd w:val="clear" w:color="auto" w:fill="FFFFFF"/>
            <w:vAlign w:val="top"/>
          </w:tcPr>
          <w:p w14:paraId="367A3D7B">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71249DB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 高危人群强化筛查</w:t>
            </w:r>
          </w:p>
        </w:tc>
        <w:tc>
          <w:tcPr>
            <w:tcW w:w="2812" w:type="pct"/>
            <w:tcBorders>
              <w:top w:val="nil"/>
              <w:left w:val="nil"/>
              <w:bottom w:val="nil"/>
              <w:right w:val="nil"/>
            </w:tcBorders>
            <w:shd w:val="clear" w:color="auto" w:fill="FFFFFF"/>
            <w:vAlign w:val="top"/>
          </w:tcPr>
          <w:p w14:paraId="223AD73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2.2.1 高危因素界定与强化筛查：对血压高值、超重/肥胖、高血压家族史、高钠盐饮食、长期过量饮酒、年龄≥55岁者，筛查频率提高至每半年至少一次，并接受专业生活方式干预指导。</w:t>
            </w:r>
          </w:p>
        </w:tc>
      </w:tr>
      <w:tr w14:paraId="1E32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2" w:hRule="atLeast"/>
        </w:trPr>
        <w:tc>
          <w:tcPr>
            <w:tcW w:w="967" w:type="pct"/>
            <w:vMerge w:val="continue"/>
            <w:tcBorders>
              <w:top w:val="nil"/>
              <w:left w:val="nil"/>
              <w:bottom w:val="nil"/>
              <w:right w:val="nil"/>
            </w:tcBorders>
            <w:shd w:val="clear" w:color="auto" w:fill="FFFFFF"/>
            <w:vAlign w:val="top"/>
          </w:tcPr>
          <w:p w14:paraId="1F1ABD7F">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20E32DE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 筛查流程</w:t>
            </w:r>
          </w:p>
        </w:tc>
        <w:tc>
          <w:tcPr>
            <w:tcW w:w="2812" w:type="pct"/>
            <w:tcBorders>
              <w:top w:val="nil"/>
              <w:left w:val="nil"/>
              <w:bottom w:val="nil"/>
              <w:right w:val="nil"/>
            </w:tcBorders>
            <w:shd w:val="clear" w:color="auto" w:fill="FFFFFF"/>
            <w:vAlign w:val="top"/>
          </w:tcPr>
          <w:p w14:paraId="0D2FFD8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2.3.1 标准化筛查流程：执行标准化的高血压筛查流程图，规范从初筛、复测到转诊的完整流程。</w:t>
            </w:r>
          </w:p>
        </w:tc>
      </w:tr>
      <w:tr w14:paraId="4A09A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967" w:type="pct"/>
            <w:vMerge w:val="restart"/>
            <w:tcBorders>
              <w:top w:val="nil"/>
              <w:left w:val="nil"/>
              <w:bottom w:val="nil"/>
              <w:right w:val="nil"/>
            </w:tcBorders>
            <w:shd w:val="clear" w:color="auto" w:fill="FFFFFF"/>
            <w:vAlign w:val="top"/>
          </w:tcPr>
          <w:p w14:paraId="6FD1667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 分级管理</w:t>
            </w:r>
          </w:p>
        </w:tc>
        <w:tc>
          <w:tcPr>
            <w:tcW w:w="1220" w:type="pct"/>
            <w:vMerge w:val="restart"/>
            <w:tcBorders>
              <w:top w:val="nil"/>
              <w:left w:val="nil"/>
              <w:bottom w:val="nil"/>
              <w:right w:val="nil"/>
            </w:tcBorders>
            <w:shd w:val="clear" w:color="auto" w:fill="FFFFFF"/>
            <w:vAlign w:val="top"/>
          </w:tcPr>
          <w:p w14:paraId="310F7B9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 随访评估</w:t>
            </w:r>
          </w:p>
        </w:tc>
        <w:tc>
          <w:tcPr>
            <w:tcW w:w="2812" w:type="pct"/>
            <w:tcBorders>
              <w:top w:val="nil"/>
              <w:left w:val="nil"/>
              <w:bottom w:val="nil"/>
              <w:right w:val="nil"/>
            </w:tcBorders>
            <w:shd w:val="clear" w:color="auto" w:fill="FFFFFF"/>
            <w:vAlign w:val="top"/>
          </w:tcPr>
          <w:p w14:paraId="0B85005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3.1.1 定期面对面随访：对确诊的原发性高血压患者，每年提供不少于4次面对面随访。</w:t>
            </w:r>
          </w:p>
        </w:tc>
      </w:tr>
      <w:tr w14:paraId="17CB9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967" w:type="pct"/>
            <w:vMerge w:val="continue"/>
            <w:tcBorders>
              <w:top w:val="nil"/>
              <w:left w:val="nil"/>
              <w:bottom w:val="nil"/>
              <w:right w:val="nil"/>
            </w:tcBorders>
            <w:shd w:val="clear" w:color="auto" w:fill="FFFFFF"/>
            <w:vAlign w:val="top"/>
          </w:tcPr>
          <w:p w14:paraId="4BCA902F">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262FB79">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0BAEE9B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3.1.2 随访内容规范：每次随访包括血压测量与危急情况评估、症状问询、体征测量（体重、心率、BMI）、健康状况与生活方式评估、用药情况核查。</w:t>
            </w:r>
          </w:p>
        </w:tc>
      </w:tr>
      <w:tr w14:paraId="33399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967" w:type="pct"/>
            <w:vMerge w:val="continue"/>
            <w:tcBorders>
              <w:top w:val="nil"/>
              <w:left w:val="nil"/>
              <w:bottom w:val="nil"/>
              <w:right w:val="nil"/>
            </w:tcBorders>
            <w:shd w:val="clear" w:color="auto" w:fill="FFFFFF"/>
            <w:vAlign w:val="top"/>
          </w:tcPr>
          <w:p w14:paraId="6535D566">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98F79E6">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0FAB7A6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3.1.3 紧急转诊指征与随访：识别收缩压≥180/110 mmHg、伴严重症状、妊娠/哺乳期血压高、其他急重症等情况并立即转诊，2周内主动随访转诊结果。</w:t>
            </w:r>
          </w:p>
        </w:tc>
      </w:tr>
      <w:tr w14:paraId="4EA00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967" w:type="pct"/>
            <w:vMerge w:val="continue"/>
            <w:tcBorders>
              <w:top w:val="nil"/>
              <w:left w:val="nil"/>
              <w:bottom w:val="nil"/>
              <w:right w:val="nil"/>
            </w:tcBorders>
            <w:shd w:val="clear" w:color="auto" w:fill="FFFFFF"/>
            <w:vAlign w:val="top"/>
          </w:tcPr>
          <w:p w14:paraId="5F756187">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4728D09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3.2 </w:t>
            </w:r>
            <w:r>
              <w:rPr>
                <w:rFonts w:hint="default" w:ascii="Times New Roman" w:hAnsi="Times New Roman" w:cs="Times New Roman"/>
              </w:rPr>
              <w:t>分类干预与转诊</w:t>
            </w:r>
          </w:p>
        </w:tc>
        <w:tc>
          <w:tcPr>
            <w:tcW w:w="2812" w:type="pct"/>
            <w:tcBorders>
              <w:top w:val="nil"/>
              <w:left w:val="nil"/>
              <w:bottom w:val="nil"/>
              <w:right w:val="nil"/>
            </w:tcBorders>
            <w:shd w:val="clear" w:color="auto" w:fill="FFFFFF"/>
            <w:vAlign w:val="top"/>
          </w:tcPr>
          <w:p w14:paraId="42E7D7C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3.2.1 病情稳定者干预：血压控制达标、无不良反应、无新发/加重并发症者，预约下次随访。</w:t>
            </w:r>
          </w:p>
        </w:tc>
      </w:tr>
      <w:tr w14:paraId="55FEA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 w:hRule="atLeast"/>
        </w:trPr>
        <w:tc>
          <w:tcPr>
            <w:tcW w:w="967" w:type="pct"/>
            <w:vMerge w:val="continue"/>
            <w:tcBorders>
              <w:top w:val="nil"/>
              <w:left w:val="nil"/>
              <w:bottom w:val="nil"/>
              <w:right w:val="nil"/>
            </w:tcBorders>
            <w:shd w:val="clear" w:color="auto" w:fill="FFFFFF"/>
            <w:vAlign w:val="top"/>
          </w:tcPr>
          <w:p w14:paraId="7CB0B85A">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AAE5AAC">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39E367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3.2.2 控制不佳或不良反应者干预：针对服药依从性调整治疗方案，并于2周内随访。</w:t>
            </w:r>
          </w:p>
        </w:tc>
      </w:tr>
      <w:tr w14:paraId="770B9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67" w:type="pct"/>
            <w:vMerge w:val="continue"/>
            <w:tcBorders>
              <w:top w:val="nil"/>
              <w:left w:val="nil"/>
              <w:bottom w:val="nil"/>
              <w:right w:val="nil"/>
            </w:tcBorders>
            <w:shd w:val="clear" w:color="auto" w:fill="FFFFFF"/>
            <w:vAlign w:val="top"/>
          </w:tcPr>
          <w:p w14:paraId="0CAA14B6">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39580736">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77FA430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3.2.3 持续控制不佳或病情进展者干预：对连续两次血压未达标、不良反应难控、出现新发/加重并发症者，建议转诊并于2周内随访转诊情况。</w:t>
            </w:r>
          </w:p>
        </w:tc>
      </w:tr>
      <w:tr w14:paraId="50865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4506FDAC">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0A88765F">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339BC2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3.2.4 健康教育：每次随访均进行针对性健康教育，共同设定生活方式改善目标，并告知需立即就诊的警示症状。</w:t>
            </w:r>
          </w:p>
        </w:tc>
      </w:tr>
      <w:tr w14:paraId="5324E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06547F18">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535D7E4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3.3 </w:t>
            </w:r>
            <w:r>
              <w:rPr>
                <w:rFonts w:hint="default" w:ascii="Times New Roman" w:hAnsi="Times New Roman" w:cs="Times New Roman"/>
              </w:rPr>
              <w:t>年度综合评估</w:t>
            </w:r>
          </w:p>
        </w:tc>
        <w:tc>
          <w:tcPr>
            <w:tcW w:w="2812" w:type="pct"/>
            <w:tcBorders>
              <w:top w:val="nil"/>
              <w:left w:val="nil"/>
              <w:bottom w:val="nil"/>
              <w:right w:val="nil"/>
            </w:tcBorders>
            <w:shd w:val="clear" w:color="auto" w:fill="FFFFFF"/>
            <w:vAlign w:val="top"/>
          </w:tcPr>
          <w:p w14:paraId="471C6E6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3.3.1 全面健康体检：每年进行1次全面健康体检，可与随访结合。内容至少包括一般检查、常规体格检查、功能状态判断。</w:t>
            </w:r>
          </w:p>
        </w:tc>
      </w:tr>
      <w:tr w14:paraId="67C9E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 w:hRule="atLeast"/>
        </w:trPr>
        <w:tc>
          <w:tcPr>
            <w:tcW w:w="967" w:type="pct"/>
            <w:vMerge w:val="restart"/>
            <w:tcBorders>
              <w:top w:val="nil"/>
              <w:left w:val="nil"/>
              <w:bottom w:val="nil"/>
              <w:right w:val="nil"/>
            </w:tcBorders>
            <w:shd w:val="clear" w:color="auto" w:fill="FFFFFF"/>
            <w:vAlign w:val="top"/>
          </w:tcPr>
          <w:p w14:paraId="59BA448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 规范治疗</w:t>
            </w:r>
          </w:p>
        </w:tc>
        <w:tc>
          <w:tcPr>
            <w:tcW w:w="1220" w:type="pct"/>
            <w:tcBorders>
              <w:top w:val="nil"/>
              <w:left w:val="nil"/>
              <w:bottom w:val="nil"/>
              <w:right w:val="nil"/>
            </w:tcBorders>
            <w:shd w:val="clear" w:color="auto" w:fill="FFFFFF"/>
            <w:vAlign w:val="top"/>
          </w:tcPr>
          <w:p w14:paraId="54ACB4A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 诊断标准</w:t>
            </w:r>
          </w:p>
        </w:tc>
        <w:tc>
          <w:tcPr>
            <w:tcW w:w="2812" w:type="pct"/>
            <w:tcBorders>
              <w:top w:val="nil"/>
              <w:left w:val="nil"/>
              <w:bottom w:val="nil"/>
              <w:right w:val="nil"/>
            </w:tcBorders>
            <w:shd w:val="clear" w:color="auto" w:fill="FFFFFF"/>
            <w:vAlign w:val="top"/>
          </w:tcPr>
          <w:p w14:paraId="41E9A58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4.1.1 多模式血压诊断阈值：明确诊室血压、家庭血压、动态血压的不同诊断标准与阈值。</w:t>
            </w:r>
          </w:p>
        </w:tc>
      </w:tr>
      <w:tr w14:paraId="30580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967" w:type="pct"/>
            <w:vMerge w:val="continue"/>
            <w:tcBorders>
              <w:top w:val="nil"/>
              <w:left w:val="nil"/>
              <w:bottom w:val="nil"/>
              <w:right w:val="nil"/>
            </w:tcBorders>
            <w:shd w:val="clear" w:color="auto" w:fill="FFFFFF"/>
            <w:vAlign w:val="top"/>
          </w:tcPr>
          <w:p w14:paraId="36BCC951">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2030BEE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4.2 </w:t>
            </w:r>
            <w:r>
              <w:rPr>
                <w:rFonts w:hint="default" w:ascii="Times New Roman" w:hAnsi="Times New Roman" w:cs="Times New Roman"/>
              </w:rPr>
              <w:t>治疗原则</w:t>
            </w:r>
          </w:p>
        </w:tc>
        <w:tc>
          <w:tcPr>
            <w:tcW w:w="2812" w:type="pct"/>
            <w:tcBorders>
              <w:top w:val="nil"/>
              <w:left w:val="nil"/>
              <w:bottom w:val="nil"/>
              <w:right w:val="nil"/>
            </w:tcBorders>
            <w:shd w:val="clear" w:color="auto" w:fill="FFFFFF"/>
            <w:vAlign w:val="top"/>
          </w:tcPr>
          <w:p w14:paraId="0F99B36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4.2.1 基于风险的治疗决策：明确立即启动药物治疗（血压≥160/100 mmHg、中危及以上140-159/90-99 mmHg、高危/很高危正常高值）及先行生活方式干预（低危140-159/90-99 mmHg）的时机。</w:t>
            </w:r>
          </w:p>
        </w:tc>
      </w:tr>
      <w:tr w14:paraId="64565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 w:hRule="atLeast"/>
        </w:trPr>
        <w:tc>
          <w:tcPr>
            <w:tcW w:w="967" w:type="pct"/>
            <w:vMerge w:val="continue"/>
            <w:tcBorders>
              <w:top w:val="nil"/>
              <w:left w:val="nil"/>
              <w:bottom w:val="nil"/>
              <w:right w:val="nil"/>
            </w:tcBorders>
            <w:shd w:val="clear" w:color="auto" w:fill="FFFFFF"/>
            <w:vAlign w:val="top"/>
          </w:tcPr>
          <w:p w14:paraId="60D46CBD">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2AE60EA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 治疗目标</w:t>
            </w:r>
          </w:p>
        </w:tc>
        <w:tc>
          <w:tcPr>
            <w:tcW w:w="2812" w:type="pct"/>
            <w:tcBorders>
              <w:top w:val="nil"/>
              <w:left w:val="nil"/>
              <w:bottom w:val="nil"/>
              <w:right w:val="nil"/>
            </w:tcBorders>
            <w:shd w:val="clear" w:color="auto" w:fill="FFFFFF"/>
            <w:vAlign w:val="top"/>
          </w:tcPr>
          <w:p w14:paraId="175802A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4.3.1 根本目标：降低心、脑、肾及血管并发症和死亡总体风险。</w:t>
            </w:r>
          </w:p>
        </w:tc>
      </w:tr>
      <w:tr w14:paraId="79887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7" w:hRule="atLeast"/>
        </w:trPr>
        <w:tc>
          <w:tcPr>
            <w:tcW w:w="967" w:type="pct"/>
            <w:vMerge w:val="continue"/>
            <w:tcBorders>
              <w:top w:val="nil"/>
              <w:left w:val="nil"/>
              <w:bottom w:val="nil"/>
              <w:right w:val="nil"/>
            </w:tcBorders>
            <w:shd w:val="clear" w:color="auto" w:fill="FFFFFF"/>
            <w:vAlign w:val="top"/>
          </w:tcPr>
          <w:p w14:paraId="6C7ADD55">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8D25589">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EEFB3D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4.3.2 诊室血压控制目标：根据不同人群（高危/很高危/合并症患者、一般患者、老年患者）设定个体化血压控制目标。</w:t>
            </w:r>
          </w:p>
        </w:tc>
      </w:tr>
      <w:tr w14:paraId="7E4B0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967" w:type="pct"/>
            <w:vMerge w:val="continue"/>
            <w:tcBorders>
              <w:top w:val="nil"/>
              <w:left w:val="nil"/>
              <w:bottom w:val="nil"/>
              <w:right w:val="nil"/>
            </w:tcBorders>
            <w:shd w:val="clear" w:color="auto" w:fill="FFFFFF"/>
            <w:vAlign w:val="top"/>
          </w:tcPr>
          <w:p w14:paraId="6C49B495">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463D2535">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C870A0F">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4.3.3 其他血压监测方式目标：设定家庭血压&lt;135/85 mmHg，24小时动态血压&lt;130/80 mmHg的参考目标。</w:t>
            </w:r>
          </w:p>
        </w:tc>
      </w:tr>
      <w:tr w14:paraId="4CED8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967" w:type="pct"/>
            <w:vMerge w:val="continue"/>
            <w:tcBorders>
              <w:top w:val="nil"/>
              <w:left w:val="nil"/>
              <w:bottom w:val="nil"/>
              <w:right w:val="nil"/>
            </w:tcBorders>
            <w:shd w:val="clear" w:color="auto" w:fill="FFFFFF"/>
            <w:vAlign w:val="top"/>
          </w:tcPr>
          <w:p w14:paraId="2C8A0C93">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restart"/>
            <w:tcBorders>
              <w:top w:val="nil"/>
              <w:left w:val="nil"/>
              <w:bottom w:val="nil"/>
              <w:right w:val="nil"/>
            </w:tcBorders>
            <w:shd w:val="clear" w:color="auto" w:fill="FFFFFF"/>
            <w:vAlign w:val="top"/>
          </w:tcPr>
          <w:p w14:paraId="520FC4D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 治疗方法</w:t>
            </w:r>
          </w:p>
        </w:tc>
        <w:tc>
          <w:tcPr>
            <w:tcW w:w="2812" w:type="pct"/>
            <w:tcBorders>
              <w:top w:val="nil"/>
              <w:left w:val="nil"/>
              <w:bottom w:val="nil"/>
              <w:right w:val="nil"/>
            </w:tcBorders>
            <w:shd w:val="clear" w:color="auto" w:fill="FFFFFF"/>
            <w:vAlign w:val="top"/>
          </w:tcPr>
          <w:p w14:paraId="79D9F320">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4.4.1 非药物治疗（生活方式干预）：所有患者及正常高值人群均应实施限盐、合理膳食（如DASH饮食）、控制体重、戒烟限酒、规律运动、心理与睡眠管理。</w:t>
            </w:r>
          </w:p>
        </w:tc>
      </w:tr>
      <w:tr w14:paraId="75C5C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7" w:hRule="atLeast"/>
        </w:trPr>
        <w:tc>
          <w:tcPr>
            <w:tcW w:w="967" w:type="pct"/>
            <w:vMerge w:val="continue"/>
            <w:tcBorders>
              <w:top w:val="nil"/>
              <w:left w:val="nil"/>
              <w:bottom w:val="nil"/>
              <w:right w:val="nil"/>
            </w:tcBorders>
            <w:shd w:val="clear" w:color="auto" w:fill="FFFFFF"/>
            <w:vAlign w:val="top"/>
          </w:tcPr>
          <w:p w14:paraId="31F0A925">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8DA0216">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4F2E4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4.4.2 药物治疗基本原则：遵循风险导向、长效优先、联合治疗（血压≥160/100 mmHg等高危情况）、剂量与服药时间个体化等原则。</w:t>
            </w:r>
          </w:p>
        </w:tc>
      </w:tr>
      <w:tr w14:paraId="44CA1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23756E16">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5B29807B">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6FCD4DE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4.4.3 治疗方案选择路径：根据初始血压水平、心血管风险及靶器官损害，遵循单药或联合治疗的规范化路径。</w:t>
            </w:r>
          </w:p>
        </w:tc>
      </w:tr>
      <w:tr w14:paraId="0C1C9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3A2E8EA0">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5BA421F1">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0F05B719">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4.4.4 中医药应用：结合中医适宜技术（针灸、耳穴等）、传统运动（太极拳、八段锦）及综合调理作为辅助手段。</w:t>
            </w:r>
          </w:p>
        </w:tc>
      </w:tr>
      <w:tr w14:paraId="6F902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67" w:type="pct"/>
            <w:vMerge w:val="continue"/>
            <w:tcBorders>
              <w:top w:val="nil"/>
              <w:left w:val="nil"/>
              <w:bottom w:val="nil"/>
              <w:right w:val="nil"/>
            </w:tcBorders>
            <w:shd w:val="clear" w:color="auto" w:fill="FFFFFF"/>
            <w:vAlign w:val="top"/>
          </w:tcPr>
          <w:p w14:paraId="6835C7D5">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3442A05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4.5 转诊指征</w:t>
            </w:r>
          </w:p>
        </w:tc>
        <w:tc>
          <w:tcPr>
            <w:tcW w:w="2812" w:type="pct"/>
            <w:tcBorders>
              <w:top w:val="nil"/>
              <w:left w:val="nil"/>
              <w:bottom w:val="nil"/>
              <w:right w:val="nil"/>
            </w:tcBorders>
            <w:shd w:val="clear" w:color="auto" w:fill="FFFFFF"/>
            <w:vAlign w:val="top"/>
          </w:tcPr>
          <w:p w14:paraId="73AC63F7">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4.5.1 明确转诊情形：出现急骤起病症状严重、疑似继发性高血压、难治性高血压、妊娠期或哺乳期高血压时应及时转诊，并在转诊后2-4周内主动随访结果。</w:t>
            </w:r>
          </w:p>
        </w:tc>
      </w:tr>
      <w:tr w14:paraId="249A4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967" w:type="pct"/>
            <w:vMerge w:val="continue"/>
            <w:tcBorders>
              <w:top w:val="nil"/>
              <w:left w:val="nil"/>
              <w:bottom w:val="nil"/>
              <w:right w:val="nil"/>
            </w:tcBorders>
            <w:shd w:val="clear" w:color="auto" w:fill="FFFFFF"/>
            <w:vAlign w:val="top"/>
          </w:tcPr>
          <w:p w14:paraId="1DD256A3">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restart"/>
            <w:tcBorders>
              <w:top w:val="nil"/>
              <w:left w:val="nil"/>
              <w:right w:val="nil"/>
            </w:tcBorders>
            <w:shd w:val="clear" w:color="auto" w:fill="FFFFFF"/>
            <w:vAlign w:val="top"/>
          </w:tcPr>
          <w:p w14:paraId="60AEB3A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4.6 治疗随访</w:t>
            </w:r>
          </w:p>
        </w:tc>
        <w:tc>
          <w:tcPr>
            <w:tcW w:w="2812" w:type="pct"/>
            <w:tcBorders>
              <w:top w:val="nil"/>
              <w:left w:val="nil"/>
              <w:bottom w:val="nil"/>
              <w:right w:val="nil"/>
            </w:tcBorders>
            <w:shd w:val="clear" w:color="auto" w:fill="FFFFFF"/>
            <w:vAlign w:val="top"/>
          </w:tcPr>
          <w:p w14:paraId="6FF46BD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4.6.1 随访目的与内容：评估疗效与安全性，提高依从性，监测靶器官损害。内容包括血压测量、症状询问、服药依从性与不良反应评估、生活方式指导，鼓励家庭血压监测。</w:t>
            </w:r>
          </w:p>
        </w:tc>
      </w:tr>
      <w:tr w14:paraId="0CC15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967" w:type="pct"/>
            <w:vMerge w:val="continue"/>
            <w:tcBorders>
              <w:top w:val="nil"/>
              <w:left w:val="nil"/>
              <w:bottom w:val="nil"/>
              <w:right w:val="nil"/>
            </w:tcBorders>
            <w:shd w:val="clear" w:color="auto" w:fill="FFFFFF"/>
            <w:vAlign w:val="top"/>
          </w:tcPr>
          <w:p w14:paraId="6220B21F">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left w:val="nil"/>
              <w:bottom w:val="nil"/>
              <w:right w:val="nil"/>
            </w:tcBorders>
            <w:shd w:val="clear" w:color="auto" w:fill="FFFFFF"/>
            <w:vAlign w:val="top"/>
          </w:tcPr>
          <w:p w14:paraId="6AC85790">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2D337A4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4.6.2 随访间隔：初始或调整方案后前3个月每月1次；达标稳定者每1-3个月1次；未达标者每2-4周1次。应用≥3种药物仍不达标者考虑转专科。</w:t>
            </w:r>
          </w:p>
        </w:tc>
      </w:tr>
      <w:tr w14:paraId="35619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 w:hRule="atLeast"/>
        </w:trPr>
        <w:tc>
          <w:tcPr>
            <w:tcW w:w="967" w:type="pct"/>
            <w:vMerge w:val="continue"/>
            <w:tcBorders>
              <w:top w:val="nil"/>
              <w:left w:val="nil"/>
              <w:bottom w:val="nil"/>
              <w:right w:val="nil"/>
            </w:tcBorders>
            <w:shd w:val="clear" w:color="auto" w:fill="FFFFFF"/>
            <w:vAlign w:val="top"/>
          </w:tcPr>
          <w:p w14:paraId="46BFCB3C">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1378D9D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4.7 </w:t>
            </w:r>
            <w:r>
              <w:rPr>
                <w:rFonts w:hint="default" w:ascii="Times New Roman" w:hAnsi="Times New Roman" w:cs="Times New Roman"/>
                <w:b w:val="0"/>
                <w:i w:val="0"/>
                <w:iCs w:val="0"/>
                <w:color w:val="000000"/>
                <w:kern w:val="0"/>
                <w:sz w:val="21"/>
                <w:szCs w:val="21"/>
                <w:u w:val="none"/>
                <w:lang w:val="en-US" w:eastAsia="zh-CN" w:bidi="ar"/>
              </w:rPr>
              <w:t>血压</w:t>
            </w:r>
            <w:r>
              <w:rPr>
                <w:rFonts w:hint="default" w:ascii="Times New Roman" w:hAnsi="Times New Roman" w:eastAsia="宋体" w:cs="Times New Roman"/>
                <w:b w:val="0"/>
                <w:i w:val="0"/>
                <w:iCs w:val="0"/>
                <w:color w:val="000000"/>
                <w:kern w:val="0"/>
                <w:sz w:val="21"/>
                <w:szCs w:val="21"/>
                <w:u w:val="none"/>
                <w:lang w:val="en-US" w:eastAsia="zh-CN" w:bidi="ar"/>
              </w:rPr>
              <w:t>控制指标</w:t>
            </w:r>
          </w:p>
        </w:tc>
        <w:tc>
          <w:tcPr>
            <w:tcW w:w="2812" w:type="pct"/>
            <w:tcBorders>
              <w:top w:val="nil"/>
              <w:left w:val="nil"/>
              <w:bottom w:val="nil"/>
              <w:right w:val="nil"/>
            </w:tcBorders>
            <w:shd w:val="clear" w:color="auto" w:fill="FFFFFF"/>
            <w:vAlign w:val="top"/>
          </w:tcPr>
          <w:p w14:paraId="435CC3E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4.7.1 血压控制达标定义：65岁以下患者&lt;140/90 mmHg；65岁及以上患者&lt;150/90 mmHg。</w:t>
            </w:r>
          </w:p>
        </w:tc>
      </w:tr>
      <w:tr w14:paraId="706AE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 w:hRule="atLeast"/>
        </w:trPr>
        <w:tc>
          <w:tcPr>
            <w:tcW w:w="967" w:type="pct"/>
            <w:vMerge w:val="restart"/>
            <w:tcBorders>
              <w:top w:val="nil"/>
              <w:left w:val="nil"/>
              <w:bottom w:val="nil"/>
              <w:right w:val="nil"/>
            </w:tcBorders>
            <w:shd w:val="clear" w:color="auto" w:fill="FFFFFF"/>
            <w:vAlign w:val="top"/>
          </w:tcPr>
          <w:p w14:paraId="6510BA24">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 功能康复</w:t>
            </w:r>
          </w:p>
        </w:tc>
        <w:tc>
          <w:tcPr>
            <w:tcW w:w="1220" w:type="pct"/>
            <w:tcBorders>
              <w:top w:val="nil"/>
              <w:left w:val="nil"/>
              <w:bottom w:val="nil"/>
              <w:right w:val="nil"/>
            </w:tcBorders>
            <w:shd w:val="clear" w:color="auto" w:fill="FFFFFF"/>
            <w:vAlign w:val="top"/>
          </w:tcPr>
          <w:p w14:paraId="4B26C6C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lang w:val="en-US"/>
              </w:rPr>
            </w:pPr>
            <w:r>
              <w:rPr>
                <w:rFonts w:hint="default" w:ascii="Times New Roman" w:hAnsi="Times New Roman" w:eastAsia="宋体" w:cs="Times New Roman"/>
                <w:b w:val="0"/>
                <w:i w:val="0"/>
                <w:iCs w:val="0"/>
                <w:color w:val="000000"/>
                <w:kern w:val="0"/>
                <w:sz w:val="21"/>
                <w:szCs w:val="21"/>
                <w:u w:val="none"/>
                <w:lang w:val="en-US" w:eastAsia="zh-CN" w:bidi="ar"/>
              </w:rPr>
              <w:t xml:space="preserve">5.1 </w:t>
            </w:r>
            <w:r>
              <w:rPr>
                <w:rFonts w:hint="default" w:ascii="Times New Roman" w:hAnsi="Times New Roman" w:cs="Times New Roman"/>
                <w:b w:val="0"/>
                <w:i w:val="0"/>
                <w:iCs w:val="0"/>
                <w:color w:val="000000"/>
                <w:kern w:val="0"/>
                <w:sz w:val="21"/>
                <w:szCs w:val="21"/>
                <w:u w:val="none"/>
                <w:lang w:val="en-US" w:eastAsia="zh-CN" w:bidi="ar"/>
              </w:rPr>
              <w:t>康复策略与目标</w:t>
            </w:r>
          </w:p>
        </w:tc>
        <w:tc>
          <w:tcPr>
            <w:tcW w:w="2812" w:type="pct"/>
            <w:tcBorders>
              <w:top w:val="nil"/>
              <w:left w:val="nil"/>
              <w:bottom w:val="nil"/>
              <w:right w:val="nil"/>
            </w:tcBorders>
            <w:shd w:val="clear" w:color="auto" w:fill="FFFFFF"/>
            <w:vAlign w:val="top"/>
          </w:tcPr>
          <w:p w14:paraId="3D878473">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5.1.1 采用非药物措施与药物治疗相结合的综合策略，核心目标是将血压长期稳定控制在目标范围以内（通常为&lt;140/90 mmHg，具体目标应根据患者年龄、合并症及耐受性进行个体化设定）</w:t>
            </w:r>
          </w:p>
        </w:tc>
      </w:tr>
      <w:tr w14:paraId="039A5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967" w:type="pct"/>
            <w:vMerge w:val="continue"/>
            <w:tcBorders>
              <w:top w:val="nil"/>
              <w:left w:val="nil"/>
              <w:bottom w:val="nil"/>
              <w:right w:val="nil"/>
            </w:tcBorders>
            <w:shd w:val="clear" w:color="auto" w:fill="FFFFFF"/>
            <w:vAlign w:val="top"/>
          </w:tcPr>
          <w:p w14:paraId="1B7ABDEC">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6F06A991">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5.2 家庭康复督导</w:t>
            </w:r>
          </w:p>
        </w:tc>
        <w:tc>
          <w:tcPr>
            <w:tcW w:w="2812" w:type="pct"/>
            <w:tcBorders>
              <w:top w:val="nil"/>
              <w:left w:val="nil"/>
              <w:bottom w:val="nil"/>
              <w:right w:val="nil"/>
            </w:tcBorders>
            <w:shd w:val="clear" w:color="auto" w:fill="FFFFFF"/>
            <w:vAlign w:val="top"/>
          </w:tcPr>
          <w:p w14:paraId="5CA14E6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 xml:space="preserve">5.2.1 </w:t>
            </w:r>
            <w:r>
              <w:rPr>
                <w:rFonts w:hint="default" w:ascii="Times New Roman" w:hAnsi="Times New Roman" w:cs="Times New Roman"/>
                <w:b w:val="0"/>
                <w:i w:val="0"/>
                <w:iCs w:val="0"/>
                <w:color w:val="000000"/>
                <w:kern w:val="0"/>
                <w:sz w:val="21"/>
                <w:szCs w:val="21"/>
                <w:u w:val="none"/>
                <w:lang w:val="en-US" w:eastAsia="zh-CN" w:bidi="ar"/>
              </w:rPr>
              <w:t>指导</w:t>
            </w:r>
            <w:r>
              <w:rPr>
                <w:rFonts w:hint="default" w:ascii="Times New Roman" w:hAnsi="Times New Roman" w:eastAsia="宋体" w:cs="Times New Roman"/>
                <w:b w:val="0"/>
                <w:i w:val="0"/>
                <w:iCs w:val="0"/>
                <w:color w:val="000000"/>
                <w:kern w:val="0"/>
                <w:sz w:val="21"/>
                <w:szCs w:val="21"/>
                <w:u w:val="none"/>
                <w:lang w:val="en-US" w:eastAsia="zh-CN" w:bidi="ar"/>
              </w:rPr>
              <w:t>患者掌握血压自测、运动日记记录、症状识别及应急处理流程。</w:t>
            </w:r>
          </w:p>
        </w:tc>
      </w:tr>
      <w:tr w14:paraId="0CF13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967" w:type="pct"/>
            <w:vMerge w:val="restart"/>
            <w:tcBorders>
              <w:top w:val="nil"/>
              <w:left w:val="nil"/>
              <w:bottom w:val="nil"/>
              <w:right w:val="nil"/>
            </w:tcBorders>
            <w:shd w:val="clear" w:color="auto" w:fill="FFFFFF"/>
            <w:vAlign w:val="top"/>
          </w:tcPr>
          <w:p w14:paraId="7AFC877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 长期护理</w:t>
            </w:r>
          </w:p>
        </w:tc>
        <w:tc>
          <w:tcPr>
            <w:tcW w:w="1220" w:type="pct"/>
            <w:vMerge w:val="restart"/>
            <w:tcBorders>
              <w:top w:val="nil"/>
              <w:left w:val="nil"/>
              <w:bottom w:val="nil"/>
              <w:right w:val="nil"/>
            </w:tcBorders>
            <w:shd w:val="clear" w:color="auto" w:fill="FFFFFF"/>
            <w:vAlign w:val="top"/>
          </w:tcPr>
          <w:p w14:paraId="62B3125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 居家生活照护</w:t>
            </w:r>
          </w:p>
        </w:tc>
        <w:tc>
          <w:tcPr>
            <w:tcW w:w="2812" w:type="pct"/>
            <w:tcBorders>
              <w:top w:val="nil"/>
              <w:left w:val="nil"/>
              <w:bottom w:val="nil"/>
              <w:right w:val="nil"/>
            </w:tcBorders>
            <w:shd w:val="clear" w:color="auto" w:fill="FFFFFF"/>
            <w:vAlign w:val="top"/>
          </w:tcPr>
          <w:p w14:paraId="4A8F00A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6.1.1 膳食管理：限制钠盐（每日&lt;5g），优化营养素（多摄入钾、钙、镁），控制脂肪与胆固醇，保证膳食纤维。</w:t>
            </w:r>
          </w:p>
        </w:tc>
      </w:tr>
      <w:tr w14:paraId="6EDDD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4EF2DAF6">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5404F56">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1BF0D15D">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6.1.2 规律运动：以有氧运动为主（快走、慢跑、游泳、太极拳等），每周不少于5天，每天30-45分钟中等强度运动。</w:t>
            </w:r>
          </w:p>
        </w:tc>
      </w:tr>
      <w:tr w14:paraId="24FEC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967" w:type="pct"/>
            <w:vMerge w:val="continue"/>
            <w:tcBorders>
              <w:top w:val="nil"/>
              <w:left w:val="nil"/>
              <w:bottom w:val="nil"/>
              <w:right w:val="nil"/>
            </w:tcBorders>
            <w:shd w:val="clear" w:color="auto" w:fill="FFFFFF"/>
            <w:vAlign w:val="top"/>
          </w:tcPr>
          <w:p w14:paraId="57CA9D57">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B2B5E2C">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3233837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6.1.3 体重管理：将BMI维持在18.5-23.9 kg/m²，控制腰围（男&lt;90 cm，女&lt;85 cm）。</w:t>
            </w:r>
          </w:p>
        </w:tc>
      </w:tr>
      <w:tr w14:paraId="31F96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 w:hRule="atLeast"/>
        </w:trPr>
        <w:tc>
          <w:tcPr>
            <w:tcW w:w="967" w:type="pct"/>
            <w:vMerge w:val="continue"/>
            <w:tcBorders>
              <w:top w:val="nil"/>
              <w:left w:val="nil"/>
              <w:bottom w:val="nil"/>
              <w:right w:val="nil"/>
            </w:tcBorders>
            <w:shd w:val="clear" w:color="auto" w:fill="FFFFFF"/>
            <w:vAlign w:val="top"/>
          </w:tcPr>
          <w:p w14:paraId="213856A2">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6FA9CE01">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1309EA48">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6.1.4 戒烟限酒：督促彻底戒烟，严格限制酒精摄入。</w:t>
            </w:r>
          </w:p>
        </w:tc>
      </w:tr>
      <w:tr w14:paraId="250C3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9" w:hRule="atLeast"/>
        </w:trPr>
        <w:tc>
          <w:tcPr>
            <w:tcW w:w="967" w:type="pct"/>
            <w:vMerge w:val="continue"/>
            <w:tcBorders>
              <w:top w:val="nil"/>
              <w:left w:val="nil"/>
              <w:bottom w:val="nil"/>
              <w:right w:val="nil"/>
            </w:tcBorders>
            <w:shd w:val="clear" w:color="auto" w:fill="FFFFFF"/>
            <w:vAlign w:val="top"/>
          </w:tcPr>
          <w:p w14:paraId="349016BA">
            <w:pPr>
              <w:jc w:val="both"/>
              <w:outlineLvl w:val="9"/>
              <w:rPr>
                <w:rFonts w:hint="default" w:ascii="Times New Roman" w:hAnsi="Times New Roman" w:eastAsia="宋体" w:cs="Times New Roman"/>
                <w:b w:val="0"/>
                <w:i w:val="0"/>
                <w:iCs w:val="0"/>
                <w:color w:val="000000"/>
                <w:sz w:val="21"/>
                <w:szCs w:val="21"/>
                <w:u w:val="none"/>
              </w:rPr>
            </w:pPr>
          </w:p>
        </w:tc>
        <w:tc>
          <w:tcPr>
            <w:tcW w:w="1220" w:type="pct"/>
            <w:vMerge w:val="continue"/>
            <w:tcBorders>
              <w:top w:val="nil"/>
              <w:left w:val="nil"/>
              <w:bottom w:val="nil"/>
              <w:right w:val="nil"/>
            </w:tcBorders>
            <w:shd w:val="clear" w:color="auto" w:fill="FFFFFF"/>
            <w:vAlign w:val="top"/>
          </w:tcPr>
          <w:p w14:paraId="2CB72297">
            <w:pPr>
              <w:jc w:val="both"/>
              <w:outlineLvl w:val="9"/>
              <w:rPr>
                <w:rFonts w:hint="default" w:ascii="Times New Roman" w:hAnsi="Times New Roman" w:eastAsia="宋体" w:cs="Times New Roman"/>
                <w:b w:val="0"/>
                <w:i w:val="0"/>
                <w:iCs w:val="0"/>
                <w:color w:val="000000"/>
                <w:sz w:val="21"/>
                <w:szCs w:val="21"/>
                <w:u w:val="none"/>
              </w:rPr>
            </w:pPr>
          </w:p>
        </w:tc>
        <w:tc>
          <w:tcPr>
            <w:tcW w:w="2812" w:type="pct"/>
            <w:tcBorders>
              <w:top w:val="nil"/>
              <w:left w:val="nil"/>
              <w:bottom w:val="nil"/>
              <w:right w:val="nil"/>
            </w:tcBorders>
            <w:shd w:val="clear" w:color="auto" w:fill="FFFFFF"/>
            <w:vAlign w:val="top"/>
          </w:tcPr>
          <w:p w14:paraId="401C0FCA">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6.1.5 压力管理与规律作息：运用冥想、深呼吸等方法调节情绪，保障每日7-9小时睡眠，评估睡眠呼吸暂停，保持大便通畅。</w:t>
            </w:r>
          </w:p>
        </w:tc>
      </w:tr>
      <w:tr w14:paraId="3B725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1" w:hRule="atLeast"/>
        </w:trPr>
        <w:tc>
          <w:tcPr>
            <w:tcW w:w="967" w:type="pct"/>
            <w:vMerge w:val="continue"/>
            <w:tcBorders>
              <w:top w:val="nil"/>
              <w:left w:val="nil"/>
              <w:bottom w:val="nil"/>
              <w:right w:val="nil"/>
            </w:tcBorders>
            <w:shd w:val="clear" w:color="auto" w:fill="FFFFFF"/>
            <w:vAlign w:val="top"/>
          </w:tcPr>
          <w:p w14:paraId="0C806050">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5E70CDEE">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 用药护理</w:t>
            </w:r>
          </w:p>
        </w:tc>
        <w:tc>
          <w:tcPr>
            <w:tcW w:w="2812" w:type="pct"/>
            <w:tcBorders>
              <w:top w:val="nil"/>
              <w:left w:val="nil"/>
              <w:bottom w:val="nil"/>
              <w:right w:val="nil"/>
            </w:tcBorders>
            <w:shd w:val="clear" w:color="auto" w:fill="FFFFFF"/>
            <w:vAlign w:val="top"/>
          </w:tcPr>
          <w:p w14:paraId="5D0D83F5">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6.2.1 遵医嘱用药：指导患者按时、按剂量服药，不得自行调整方案或停药。定期复诊以评估疗效、监测不良反应并调整策略。</w:t>
            </w:r>
          </w:p>
        </w:tc>
      </w:tr>
      <w:tr w14:paraId="0B7D2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967" w:type="pct"/>
            <w:vMerge w:val="continue"/>
            <w:tcBorders>
              <w:top w:val="nil"/>
              <w:left w:val="nil"/>
              <w:bottom w:val="nil"/>
              <w:right w:val="nil"/>
            </w:tcBorders>
            <w:shd w:val="clear" w:color="auto" w:fill="FFFFFF"/>
            <w:vAlign w:val="top"/>
          </w:tcPr>
          <w:p w14:paraId="3FCA9193">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nil"/>
              <w:right w:val="nil"/>
            </w:tcBorders>
            <w:shd w:val="clear" w:color="auto" w:fill="FFFFFF"/>
            <w:vAlign w:val="top"/>
          </w:tcPr>
          <w:p w14:paraId="6D18CB32">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 血压规范监测</w:t>
            </w:r>
          </w:p>
        </w:tc>
        <w:tc>
          <w:tcPr>
            <w:tcW w:w="2812" w:type="pct"/>
            <w:tcBorders>
              <w:top w:val="nil"/>
              <w:left w:val="nil"/>
              <w:bottom w:val="nil"/>
              <w:right w:val="nil"/>
            </w:tcBorders>
            <w:shd w:val="clear" w:color="auto" w:fill="FFFFFF"/>
            <w:vAlign w:val="top"/>
          </w:tcPr>
          <w:p w14:paraId="1F29FC4C">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6.3.1 规范测量方法：使用经校准的上臂式电子血压计；测量前静息5-10分钟，避免干扰因素；取坐位，袖带中心与心脏同高；连续测量2-3次取平均值；规范记录测量值。</w:t>
            </w:r>
          </w:p>
        </w:tc>
      </w:tr>
      <w:tr w14:paraId="164DC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67" w:type="pct"/>
            <w:vMerge w:val="continue"/>
            <w:tcBorders>
              <w:top w:val="nil"/>
              <w:left w:val="nil"/>
              <w:bottom w:val="single" w:color="000000" w:sz="12" w:space="0"/>
              <w:right w:val="nil"/>
            </w:tcBorders>
            <w:shd w:val="clear" w:color="auto" w:fill="FFFFFF"/>
            <w:vAlign w:val="top"/>
          </w:tcPr>
          <w:p w14:paraId="15729B4C">
            <w:pPr>
              <w:jc w:val="both"/>
              <w:outlineLvl w:val="9"/>
              <w:rPr>
                <w:rFonts w:hint="default" w:ascii="Times New Roman" w:hAnsi="Times New Roman" w:eastAsia="宋体" w:cs="Times New Roman"/>
                <w:b w:val="0"/>
                <w:i w:val="0"/>
                <w:iCs w:val="0"/>
                <w:color w:val="000000"/>
                <w:sz w:val="21"/>
                <w:szCs w:val="21"/>
                <w:u w:val="none"/>
              </w:rPr>
            </w:pPr>
          </w:p>
        </w:tc>
        <w:tc>
          <w:tcPr>
            <w:tcW w:w="1220" w:type="pct"/>
            <w:tcBorders>
              <w:top w:val="nil"/>
              <w:left w:val="nil"/>
              <w:bottom w:val="single" w:color="000000" w:sz="12" w:space="0"/>
              <w:right w:val="nil"/>
            </w:tcBorders>
            <w:shd w:val="clear" w:color="auto" w:fill="FFFFFF"/>
            <w:vAlign w:val="top"/>
          </w:tcPr>
          <w:p w14:paraId="1AFD55E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6.4 急症识别与应对</w:t>
            </w:r>
          </w:p>
        </w:tc>
        <w:tc>
          <w:tcPr>
            <w:tcW w:w="2812" w:type="pct"/>
            <w:tcBorders>
              <w:top w:val="nil"/>
              <w:left w:val="nil"/>
              <w:bottom w:val="single" w:color="000000" w:sz="12" w:space="0"/>
              <w:right w:val="nil"/>
            </w:tcBorders>
            <w:shd w:val="clear" w:color="auto" w:fill="FFFFFF"/>
            <w:vAlign w:val="top"/>
          </w:tcPr>
          <w:p w14:paraId="7F2E8396">
            <w:pPr>
              <w:keepNext w:val="0"/>
              <w:keepLines w:val="0"/>
              <w:widowControl/>
              <w:suppressLineNumbers w:val="0"/>
              <w:jc w:val="both"/>
              <w:textAlignment w:val="center"/>
              <w:outlineLvl w:val="9"/>
              <w:rPr>
                <w:rFonts w:hint="default" w:ascii="Times New Roman" w:hAnsi="Times New Roman" w:eastAsia="宋体" w:cs="Times New Roman"/>
                <w:b w:val="0"/>
                <w:i w:val="0"/>
                <w:iCs w:val="0"/>
                <w:color w:val="000000"/>
                <w:sz w:val="21"/>
                <w:szCs w:val="21"/>
                <w:u w:val="none"/>
              </w:rPr>
            </w:pPr>
            <w:r>
              <w:rPr>
                <w:rFonts w:hint="default" w:ascii="Times New Roman" w:hAnsi="Times New Roman" w:eastAsia="宋体" w:cs="Times New Roman"/>
                <w:b w:val="0"/>
                <w:i w:val="0"/>
                <w:iCs w:val="0"/>
                <w:color w:val="000000"/>
                <w:kern w:val="0"/>
                <w:sz w:val="21"/>
                <w:szCs w:val="21"/>
                <w:u w:val="none"/>
                <w:lang w:val="en-US" w:eastAsia="zh-CN" w:bidi="ar"/>
              </w:rPr>
              <w:t>6.4.1 危重症状识别：密切观察是否出现剧烈头痛、眩晕、视力模糊、胸闷、胸痛、心悸、呼吸困难、严重恶心呕吐等提示病情危重的症状，一旦出现立即就医。</w:t>
            </w:r>
          </w:p>
        </w:tc>
      </w:tr>
    </w:tbl>
    <w:p w14:paraId="57ECD9E6">
      <w:pPr>
        <w:pStyle w:val="59"/>
        <w:outlineLvl w:val="9"/>
        <w:rPr>
          <w:rFonts w:hint="default"/>
          <w:lang w:val="en-US" w:eastAsia="zh-CN"/>
        </w:rPr>
      </w:pPr>
    </w:p>
    <w:p w14:paraId="1C006E48">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 xml:space="preserve">5.4 </w:t>
      </w:r>
      <w:bookmarkEnd w:id="29"/>
      <w:r>
        <w:rPr>
          <w:rFonts w:hint="eastAsia" w:hAnsi="黑体" w:cs="黑体"/>
          <w:b/>
          <w:bCs/>
          <w:szCs w:val="21"/>
          <w:lang w:val="en-US" w:eastAsia="zh-CN"/>
        </w:rPr>
        <w:t>糖尿病</w:t>
      </w:r>
    </w:p>
    <w:p w14:paraId="7CFFBEB7">
      <w:pPr>
        <w:pStyle w:val="64"/>
        <w:numPr>
          <w:ilvl w:val="1"/>
          <w:numId w:val="0"/>
        </w:numPr>
        <w:adjustRightInd w:val="0"/>
        <w:snapToGrid w:val="0"/>
        <w:spacing w:before="240" w:after="240" w:line="360" w:lineRule="auto"/>
        <w:jc w:val="left"/>
        <w:outlineLvl w:val="9"/>
        <w:rPr>
          <w:rFonts w:hint="default" w:hAnsi="黑体" w:cs="黑体"/>
          <w:b/>
          <w:bCs/>
          <w:szCs w:val="21"/>
          <w:lang w:val="en-US" w:eastAsia="zh-CN"/>
        </w:rPr>
      </w:pPr>
      <w:r>
        <w:rPr>
          <w:rFonts w:hint="eastAsia" w:hAnsi="黑体" w:cs="黑体"/>
          <w:b/>
          <w:bCs/>
          <w:szCs w:val="21"/>
          <w:lang w:val="en-US" w:eastAsia="zh-CN"/>
        </w:rPr>
        <w:t>5.4.1 一级指标</w:t>
      </w:r>
    </w:p>
    <w:p w14:paraId="57938923">
      <w:pPr>
        <w:pStyle w:val="64"/>
        <w:numPr>
          <w:ilvl w:val="1"/>
          <w:numId w:val="0"/>
        </w:numPr>
        <w:adjustRightInd w:val="0"/>
        <w:snapToGrid w:val="0"/>
        <w:spacing w:before="240" w:after="240" w:line="360" w:lineRule="auto"/>
        <w:ind w:firstLine="420" w:firstLineChars="200"/>
        <w:jc w:val="left"/>
        <w:outlineLvl w:val="9"/>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共6个一级指标，包括预防干预、早期筛查、分级管理、规范治疗、功能康复、长期护理。</w:t>
      </w:r>
    </w:p>
    <w:p w14:paraId="5200DA68">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bookmarkStart w:id="31" w:name="_Toc27704"/>
      <w:r>
        <w:rPr>
          <w:rFonts w:hint="eastAsia" w:hAnsi="黑体" w:cs="黑体"/>
          <w:b/>
          <w:bCs/>
          <w:szCs w:val="21"/>
          <w:lang w:val="en-US" w:eastAsia="zh-CN"/>
        </w:rPr>
        <w:t>5.4.2 二级指标</w:t>
      </w:r>
      <w:bookmarkEnd w:id="31"/>
    </w:p>
    <w:p w14:paraId="05C7A7B1">
      <w:pPr>
        <w:pStyle w:val="59"/>
        <w:spacing w:line="360" w:lineRule="auto"/>
        <w:ind w:firstLine="420"/>
        <w:outlineLvl w:val="9"/>
        <w:rPr>
          <w:rFonts w:ascii="Times New Roman"/>
        </w:rPr>
      </w:pPr>
      <w:r>
        <w:rPr>
          <w:rFonts w:hint="eastAsia" w:ascii="Times New Roman"/>
        </w:rPr>
        <w:t>共1</w:t>
      </w:r>
      <w:r>
        <w:rPr>
          <w:rFonts w:hint="eastAsia" w:ascii="Times New Roman"/>
          <w:lang w:val="en-US" w:eastAsia="zh-CN"/>
        </w:rPr>
        <w:t>9</w:t>
      </w:r>
      <w:r>
        <w:rPr>
          <w:rFonts w:hint="eastAsia" w:ascii="Times New Roman"/>
        </w:rPr>
        <w:t>个二级指标，包括实施全民健康教育</w:t>
      </w:r>
      <w:r>
        <w:rPr>
          <w:rFonts w:hint="eastAsia" w:ascii="Times New Roman"/>
          <w:lang w:eastAsia="zh-CN"/>
        </w:rPr>
        <w:t>、</w:t>
      </w:r>
      <w:r>
        <w:rPr>
          <w:rFonts w:hint="eastAsia" w:ascii="Times New Roman"/>
        </w:rPr>
        <w:t>推广健康生活方式</w:t>
      </w:r>
      <w:r>
        <w:rPr>
          <w:rFonts w:hint="eastAsia" w:ascii="Times New Roman"/>
          <w:lang w:eastAsia="zh-CN"/>
        </w:rPr>
        <w:t>、</w:t>
      </w:r>
      <w:r>
        <w:rPr>
          <w:rFonts w:hint="eastAsia" w:ascii="Times New Roman"/>
        </w:rPr>
        <w:t>多渠道高危人群识别</w:t>
      </w:r>
      <w:r>
        <w:rPr>
          <w:rFonts w:hint="eastAsia" w:ascii="Times New Roman"/>
          <w:lang w:eastAsia="zh-CN"/>
        </w:rPr>
        <w:t>、</w:t>
      </w:r>
      <w:r>
        <w:rPr>
          <w:rFonts w:hint="eastAsia" w:ascii="Times New Roman"/>
        </w:rPr>
        <w:t>高危人群筛查</w:t>
      </w:r>
      <w:r>
        <w:rPr>
          <w:rFonts w:hint="eastAsia" w:ascii="Times New Roman"/>
          <w:lang w:eastAsia="zh-CN"/>
        </w:rPr>
        <w:t>、</w:t>
      </w:r>
      <w:r>
        <w:rPr>
          <w:rFonts w:hint="eastAsia" w:ascii="Times New Roman"/>
        </w:rPr>
        <w:t>定期随访与评估</w:t>
      </w:r>
      <w:r>
        <w:rPr>
          <w:rFonts w:hint="eastAsia" w:ascii="Times New Roman"/>
          <w:lang w:eastAsia="zh-CN"/>
        </w:rPr>
        <w:t>、</w:t>
      </w:r>
      <w:r>
        <w:rPr>
          <w:rFonts w:hint="eastAsia" w:ascii="Times New Roman"/>
        </w:rPr>
        <w:t>患者教育与管理支持</w:t>
      </w:r>
      <w:r>
        <w:rPr>
          <w:rFonts w:hint="eastAsia" w:ascii="Times New Roman"/>
          <w:lang w:eastAsia="zh-CN"/>
        </w:rPr>
        <w:t>、</w:t>
      </w:r>
      <w:r>
        <w:rPr>
          <w:rFonts w:hint="eastAsia" w:ascii="Times New Roman"/>
        </w:rPr>
        <w:t>年度全面健康体检</w:t>
      </w:r>
      <w:r>
        <w:rPr>
          <w:rFonts w:hint="eastAsia" w:ascii="Times New Roman"/>
          <w:lang w:eastAsia="zh-CN"/>
        </w:rPr>
        <w:t>、</w:t>
      </w:r>
      <w:r>
        <w:rPr>
          <w:rFonts w:hint="eastAsia" w:ascii="Times New Roman"/>
        </w:rPr>
        <w:t>营养治疗</w:t>
      </w:r>
      <w:r>
        <w:rPr>
          <w:rFonts w:hint="eastAsia" w:ascii="Times New Roman"/>
          <w:lang w:eastAsia="zh-CN"/>
        </w:rPr>
        <w:t>、</w:t>
      </w:r>
      <w:r>
        <w:rPr>
          <w:rFonts w:hint="eastAsia" w:ascii="Times New Roman"/>
        </w:rPr>
        <w:t>运动治疗</w:t>
      </w:r>
      <w:r>
        <w:rPr>
          <w:rFonts w:hint="eastAsia" w:ascii="Times New Roman"/>
          <w:lang w:eastAsia="zh-CN"/>
        </w:rPr>
        <w:t>、</w:t>
      </w:r>
      <w:r>
        <w:rPr>
          <w:rFonts w:hint="eastAsia" w:ascii="Times New Roman"/>
        </w:rPr>
        <w:t>药物治疗</w:t>
      </w:r>
      <w:r>
        <w:rPr>
          <w:rFonts w:hint="eastAsia" w:ascii="Times New Roman"/>
          <w:lang w:eastAsia="zh-CN"/>
        </w:rPr>
        <w:t>、</w:t>
      </w:r>
      <w:r>
        <w:rPr>
          <w:rFonts w:hint="eastAsia" w:ascii="Times New Roman"/>
        </w:rPr>
        <w:t>体重综合管理</w:t>
      </w:r>
      <w:r>
        <w:rPr>
          <w:rFonts w:hint="eastAsia" w:ascii="Times New Roman"/>
          <w:lang w:eastAsia="zh-CN"/>
        </w:rPr>
        <w:t>、</w:t>
      </w:r>
      <w:r>
        <w:rPr>
          <w:rFonts w:hint="eastAsia" w:ascii="Times New Roman"/>
        </w:rPr>
        <w:t>生活方式核心干预</w:t>
      </w:r>
      <w:r>
        <w:rPr>
          <w:rFonts w:hint="eastAsia" w:ascii="Times New Roman"/>
          <w:lang w:eastAsia="zh-CN"/>
        </w:rPr>
        <w:t>、</w:t>
      </w:r>
      <w:r>
        <w:rPr>
          <w:rFonts w:hint="eastAsia" w:ascii="Times New Roman"/>
        </w:rPr>
        <w:t>心理社会支持与自我管理赋能</w:t>
      </w:r>
      <w:r>
        <w:rPr>
          <w:rFonts w:hint="eastAsia" w:ascii="Times New Roman"/>
          <w:lang w:eastAsia="zh-CN"/>
        </w:rPr>
        <w:t>、</w:t>
      </w:r>
      <w:r>
        <w:rPr>
          <w:rFonts w:hint="eastAsia" w:ascii="Times New Roman"/>
        </w:rPr>
        <w:t>特殊人群康复干预</w:t>
      </w:r>
      <w:r>
        <w:rPr>
          <w:rFonts w:hint="eastAsia" w:ascii="Times New Roman"/>
          <w:lang w:eastAsia="zh-CN"/>
        </w:rPr>
        <w:t>、</w:t>
      </w:r>
      <w:r>
        <w:rPr>
          <w:rFonts w:hint="eastAsia" w:ascii="Times New Roman"/>
        </w:rPr>
        <w:t>干预效果评估与方案调整</w:t>
      </w:r>
      <w:r>
        <w:rPr>
          <w:rFonts w:hint="eastAsia" w:ascii="Times New Roman"/>
          <w:lang w:eastAsia="zh-CN"/>
        </w:rPr>
        <w:t>、</w:t>
      </w:r>
      <w:r>
        <w:rPr>
          <w:rFonts w:hint="eastAsia" w:ascii="Times New Roman"/>
        </w:rPr>
        <w:t>核心护理措施</w:t>
      </w:r>
      <w:r>
        <w:rPr>
          <w:rFonts w:hint="eastAsia" w:ascii="Times New Roman"/>
          <w:lang w:eastAsia="zh-CN"/>
        </w:rPr>
        <w:t>、</w:t>
      </w:r>
      <w:r>
        <w:rPr>
          <w:rFonts w:hint="eastAsia" w:ascii="Times New Roman"/>
        </w:rPr>
        <w:t>不同照护场景下的护理重点</w:t>
      </w:r>
      <w:r>
        <w:rPr>
          <w:rFonts w:hint="eastAsia" w:ascii="Times New Roman"/>
          <w:lang w:eastAsia="zh-CN"/>
        </w:rPr>
        <w:t>、</w:t>
      </w:r>
      <w:r>
        <w:rPr>
          <w:rFonts w:hint="eastAsia" w:ascii="Times New Roman"/>
        </w:rPr>
        <w:t>急性并发症的识别与紧急处理</w:t>
      </w:r>
      <w:r>
        <w:rPr>
          <w:rFonts w:hint="eastAsia" w:ascii="Times New Roman"/>
          <w:lang w:eastAsia="zh-CN"/>
        </w:rPr>
        <w:t>、</w:t>
      </w:r>
      <w:r>
        <w:rPr>
          <w:rFonts w:hint="eastAsia" w:ascii="Times New Roman"/>
        </w:rPr>
        <w:t>慢性并发症的监测与风险管理。</w:t>
      </w:r>
    </w:p>
    <w:p w14:paraId="5778F7F5">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bookmarkStart w:id="32" w:name="_Toc16368"/>
      <w:r>
        <w:rPr>
          <w:rFonts w:hint="eastAsia" w:hAnsi="黑体" w:cs="黑体"/>
          <w:b/>
          <w:bCs/>
          <w:szCs w:val="21"/>
          <w:lang w:val="en-US" w:eastAsia="zh-CN"/>
        </w:rPr>
        <w:t>5.4.3 三级指标</w:t>
      </w:r>
      <w:bookmarkEnd w:id="32"/>
    </w:p>
    <w:p w14:paraId="1E89FC22">
      <w:pPr>
        <w:pStyle w:val="59"/>
        <w:spacing w:line="360" w:lineRule="auto"/>
        <w:ind w:firstLine="420"/>
        <w:outlineLvl w:val="9"/>
        <w:rPr>
          <w:rFonts w:ascii="Times New Roman"/>
        </w:rPr>
      </w:pPr>
      <w:r>
        <w:rPr>
          <w:rFonts w:hint="eastAsia" w:ascii="Times New Roman"/>
        </w:rPr>
        <w:t>共</w:t>
      </w:r>
      <w:r>
        <w:rPr>
          <w:rFonts w:hint="eastAsia" w:ascii="Times New Roman"/>
          <w:lang w:val="en-US" w:eastAsia="zh-CN"/>
        </w:rPr>
        <w:t>29</w:t>
      </w:r>
      <w:r>
        <w:rPr>
          <w:rFonts w:hint="eastAsia" w:ascii="Times New Roman"/>
        </w:rPr>
        <w:t>个三级指标，包括</w:t>
      </w:r>
      <w:r>
        <w:rPr>
          <w:rFonts w:hint="eastAsia" w:ascii="Times New Roman"/>
          <w:vertAlign w:val="baseline"/>
        </w:rPr>
        <w:t>普及防治核心知识</w:t>
      </w:r>
      <w:r>
        <w:rPr>
          <w:rFonts w:hint="eastAsia" w:ascii="Times New Roman"/>
          <w:vertAlign w:val="baseline"/>
          <w:lang w:eastAsia="zh-CN"/>
        </w:rPr>
        <w:t>、</w:t>
      </w:r>
      <w:r>
        <w:rPr>
          <w:rFonts w:hint="eastAsia" w:ascii="Times New Roman"/>
          <w:vertAlign w:val="baseline"/>
          <w:lang w:val="en-US" w:eastAsia="zh-CN"/>
        </w:rPr>
        <w:t>倡导综合健康行为、整合多来源资料、两点法筛查、中国糖尿病风险评估表筛查、执行定期随访核心内容检查、实施分级干预措施与健康指导、系统化与多形式教育方式、规范化教育管理流程、实施全面年度健康检查、能量与体重管理、宏量营养素分配与食物选择、其他饮食建议、口服降糖药、胰岛素及肠促胰素类药物应用、实施体重综合管理策略、医学营养治疗原则、规律运动方案、心理支持干预、自我管理能力建设、特殊人群干预调整、效果评估与动态调整、患者与家庭健康教育、自我管理技能指导、并发症的预防性护理、居家/社区照护、低血糖的识别与处理、高血糖危象的识别与处理、长期监测计划</w:t>
      </w:r>
      <w:r>
        <w:rPr>
          <w:rFonts w:hint="eastAsia" w:ascii="Times New Roman"/>
        </w:rPr>
        <w:t>。具体内容见表</w:t>
      </w:r>
      <w:r>
        <w:rPr>
          <w:rFonts w:hint="eastAsia" w:ascii="Times New Roman"/>
          <w:lang w:val="en-US" w:eastAsia="zh-CN"/>
        </w:rPr>
        <w:t>4</w:t>
      </w:r>
      <w:r>
        <w:rPr>
          <w:rFonts w:hint="eastAsia" w:ascii="Times New Roman"/>
        </w:rPr>
        <w:t>。</w:t>
      </w:r>
    </w:p>
    <w:p w14:paraId="38AD8053">
      <w:pPr>
        <w:pStyle w:val="59"/>
        <w:spacing w:line="360" w:lineRule="auto"/>
        <w:ind w:firstLine="422"/>
        <w:jc w:val="center"/>
        <w:outlineLvl w:val="9"/>
        <w:rPr>
          <w:rFonts w:ascii="Times New Roman"/>
        </w:rPr>
      </w:pPr>
      <w:r>
        <w:rPr>
          <w:rFonts w:hint="eastAsia" w:ascii="Times New Roman"/>
          <w:b/>
          <w:bCs/>
        </w:rPr>
        <w:t xml:space="preserve">表 </w:t>
      </w:r>
      <w:r>
        <w:rPr>
          <w:rFonts w:hint="eastAsia" w:ascii="Times New Roman"/>
          <w:b/>
          <w:bCs/>
          <w:lang w:val="en-US" w:eastAsia="zh-CN"/>
        </w:rPr>
        <w:t>4</w:t>
      </w:r>
      <w:r>
        <w:rPr>
          <w:rFonts w:hint="eastAsia" w:ascii="Times New Roman"/>
          <w:b/>
          <w:bCs/>
        </w:rPr>
        <w:t xml:space="preserve">  </w:t>
      </w:r>
      <w:r>
        <w:rPr>
          <w:rFonts w:hint="eastAsia" w:ascii="Times New Roman"/>
          <w:b/>
          <w:bCs/>
          <w:lang w:val="en-US" w:eastAsia="zh-CN"/>
        </w:rPr>
        <w:t>糖尿病“防、筛、管、治、康、护”服务技术标准体系</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38"/>
        <w:gridCol w:w="5542"/>
      </w:tblGrid>
      <w:tr w14:paraId="01D8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left w:val="nil"/>
              <w:bottom w:val="single" w:color="auto" w:sz="4" w:space="0"/>
              <w:right w:val="nil"/>
            </w:tcBorders>
            <w:vAlign w:val="top"/>
          </w:tcPr>
          <w:p w14:paraId="2DF89AD5">
            <w:pPr>
              <w:keepNext w:val="0"/>
              <w:keepLines w:val="0"/>
              <w:widowControl/>
              <w:suppressLineNumbers w:val="0"/>
              <w:jc w:val="center"/>
              <w:textAlignment w:val="center"/>
              <w:outlineLvl w:val="9"/>
              <w:rPr>
                <w:rFonts w:ascii="Times New Roman"/>
                <w:sz w:val="22"/>
                <w:szCs w:val="22"/>
                <w:vertAlign w:val="baseline"/>
              </w:rPr>
            </w:pPr>
            <w:r>
              <w:rPr>
                <w:rFonts w:hint="eastAsia" w:ascii="宋体" w:hAnsi="宋体" w:eastAsia="宋体" w:cs="宋体"/>
                <w:b/>
                <w:bCs/>
                <w:i w:val="0"/>
                <w:iCs w:val="0"/>
                <w:color w:val="000000"/>
                <w:kern w:val="0"/>
                <w:sz w:val="22"/>
                <w:szCs w:val="22"/>
                <w:u w:val="none"/>
                <w:lang w:val="en-US" w:eastAsia="zh-CN" w:bidi="ar"/>
              </w:rPr>
              <w:t>一级</w:t>
            </w:r>
            <w:r>
              <w:rPr>
                <w:rFonts w:hint="eastAsia" w:ascii="宋体" w:hAnsi="宋体" w:cs="宋体"/>
                <w:b/>
                <w:bCs/>
                <w:i w:val="0"/>
                <w:iCs w:val="0"/>
                <w:color w:val="000000"/>
                <w:kern w:val="0"/>
                <w:sz w:val="22"/>
                <w:szCs w:val="22"/>
                <w:u w:val="none"/>
                <w:lang w:val="en-US" w:eastAsia="zh-CN" w:bidi="ar"/>
              </w:rPr>
              <w:t>技术</w:t>
            </w:r>
            <w:r>
              <w:rPr>
                <w:rFonts w:hint="eastAsia" w:ascii="宋体" w:hAnsi="宋体" w:eastAsia="宋体" w:cs="宋体"/>
                <w:b/>
                <w:bCs/>
                <w:i w:val="0"/>
                <w:iCs w:val="0"/>
                <w:color w:val="000000"/>
                <w:kern w:val="0"/>
                <w:sz w:val="22"/>
                <w:szCs w:val="22"/>
                <w:u w:val="none"/>
                <w:lang w:val="en-US" w:eastAsia="zh-CN" w:bidi="ar"/>
              </w:rPr>
              <w:t>模块</w:t>
            </w:r>
          </w:p>
        </w:tc>
        <w:tc>
          <w:tcPr>
            <w:tcW w:w="2138" w:type="dxa"/>
            <w:tcBorders>
              <w:left w:val="nil"/>
              <w:bottom w:val="single" w:color="auto" w:sz="4" w:space="0"/>
              <w:right w:val="nil"/>
            </w:tcBorders>
            <w:vAlign w:val="top"/>
          </w:tcPr>
          <w:p w14:paraId="77E3022B">
            <w:pPr>
              <w:keepNext w:val="0"/>
              <w:keepLines w:val="0"/>
              <w:widowControl/>
              <w:suppressLineNumbers w:val="0"/>
              <w:jc w:val="center"/>
              <w:textAlignment w:val="center"/>
              <w:outlineLvl w:val="9"/>
              <w:rPr>
                <w:rFonts w:ascii="Times New Roman"/>
                <w:sz w:val="22"/>
                <w:szCs w:val="22"/>
                <w:vertAlign w:val="baseline"/>
              </w:rPr>
            </w:pPr>
            <w:r>
              <w:rPr>
                <w:rFonts w:hint="eastAsia" w:ascii="宋体" w:hAnsi="宋体" w:eastAsia="宋体" w:cs="宋体"/>
                <w:b/>
                <w:bCs/>
                <w:i w:val="0"/>
                <w:iCs w:val="0"/>
                <w:color w:val="000000"/>
                <w:kern w:val="0"/>
                <w:sz w:val="22"/>
                <w:szCs w:val="22"/>
                <w:u w:val="none"/>
                <w:lang w:val="en-US" w:eastAsia="zh-CN" w:bidi="ar"/>
              </w:rPr>
              <w:t>二级技术节点</w:t>
            </w:r>
          </w:p>
        </w:tc>
        <w:tc>
          <w:tcPr>
            <w:tcW w:w="5542" w:type="dxa"/>
            <w:tcBorders>
              <w:left w:val="nil"/>
              <w:bottom w:val="single" w:color="auto" w:sz="4" w:space="0"/>
              <w:right w:val="nil"/>
            </w:tcBorders>
            <w:vAlign w:val="top"/>
          </w:tcPr>
          <w:p w14:paraId="744A51B3">
            <w:pPr>
              <w:keepNext w:val="0"/>
              <w:keepLines w:val="0"/>
              <w:widowControl/>
              <w:suppressLineNumbers w:val="0"/>
              <w:jc w:val="center"/>
              <w:textAlignment w:val="center"/>
              <w:outlineLvl w:val="9"/>
              <w:rPr>
                <w:rFonts w:hint="default" w:ascii="Times New Roman"/>
                <w:sz w:val="22"/>
                <w:szCs w:val="22"/>
                <w:vertAlign w:val="baseline"/>
                <w:lang w:val="en-US"/>
              </w:rPr>
            </w:pPr>
            <w:r>
              <w:rPr>
                <w:rFonts w:hint="eastAsia" w:ascii="宋体" w:hAnsi="宋体" w:eastAsia="宋体" w:cs="宋体"/>
                <w:b/>
                <w:bCs/>
                <w:i w:val="0"/>
                <w:iCs w:val="0"/>
                <w:color w:val="000000"/>
                <w:kern w:val="0"/>
                <w:sz w:val="22"/>
                <w:szCs w:val="22"/>
                <w:u w:val="none"/>
                <w:lang w:val="en-US" w:eastAsia="zh-CN" w:bidi="ar"/>
              </w:rPr>
              <w:t>三级技术</w:t>
            </w:r>
            <w:r>
              <w:rPr>
                <w:rFonts w:hint="eastAsia" w:ascii="宋体" w:hAnsi="宋体" w:cs="宋体"/>
                <w:b/>
                <w:bCs/>
                <w:i w:val="0"/>
                <w:iCs w:val="0"/>
                <w:color w:val="000000"/>
                <w:kern w:val="0"/>
                <w:sz w:val="22"/>
                <w:szCs w:val="22"/>
                <w:u w:val="none"/>
                <w:lang w:val="en-US" w:eastAsia="zh-CN" w:bidi="ar"/>
              </w:rPr>
              <w:t>内容</w:t>
            </w:r>
          </w:p>
        </w:tc>
      </w:tr>
      <w:tr w14:paraId="58B43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4" w:space="0"/>
              <w:left w:val="nil"/>
              <w:bottom w:val="nil"/>
              <w:right w:val="nil"/>
            </w:tcBorders>
            <w:vAlign w:val="center"/>
          </w:tcPr>
          <w:p w14:paraId="4D6C264B">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预防干预</w:t>
            </w:r>
          </w:p>
        </w:tc>
        <w:tc>
          <w:tcPr>
            <w:tcW w:w="2138" w:type="dxa"/>
            <w:tcBorders>
              <w:top w:val="single" w:color="auto" w:sz="4" w:space="0"/>
              <w:left w:val="nil"/>
              <w:bottom w:val="nil"/>
              <w:right w:val="nil"/>
            </w:tcBorders>
            <w:vAlign w:val="center"/>
          </w:tcPr>
          <w:p w14:paraId="3F3E85AA">
            <w:pPr>
              <w:pStyle w:val="59"/>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实施全民健康教育</w:t>
            </w:r>
          </w:p>
        </w:tc>
        <w:tc>
          <w:tcPr>
            <w:tcW w:w="5542" w:type="dxa"/>
            <w:tcBorders>
              <w:top w:val="single" w:color="auto" w:sz="4" w:space="0"/>
              <w:left w:val="nil"/>
              <w:bottom w:val="nil"/>
              <w:right w:val="nil"/>
            </w:tcBorders>
          </w:tcPr>
          <w:p w14:paraId="3C41CECA">
            <w:pPr>
              <w:pStyle w:val="59"/>
              <w:widowControl w:val="0"/>
              <w:spacing w:line="360" w:lineRule="auto"/>
              <w:ind w:left="0" w:leftChars="0" w:firstLine="0" w:firstLineChars="0"/>
              <w:jc w:val="left"/>
              <w:outlineLvl w:val="9"/>
              <w:rPr>
                <w:rFonts w:hint="eastAsia" w:ascii="Times New Roman"/>
                <w:vertAlign w:val="baseline"/>
              </w:rPr>
            </w:pPr>
            <w:r>
              <w:rPr>
                <w:rFonts w:hint="eastAsia" w:ascii="Times New Roman"/>
                <w:vertAlign w:val="baseline"/>
              </w:rPr>
              <w:t>普及防治核心知识</w:t>
            </w:r>
            <w:r>
              <w:rPr>
                <w:rFonts w:hint="eastAsia" w:ascii="Times New Roman"/>
                <w:vertAlign w:val="baseline"/>
                <w:lang w:eastAsia="zh-CN"/>
              </w:rPr>
              <w:t>：</w:t>
            </w:r>
            <w:r>
              <w:rPr>
                <w:rFonts w:hint="eastAsia" w:ascii="Times New Roman"/>
                <w:vertAlign w:val="baseline"/>
              </w:rPr>
              <w:t>提升公众疾病认知水平与主动参与</w:t>
            </w:r>
          </w:p>
        </w:tc>
      </w:tr>
      <w:tr w14:paraId="3A22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1A4FD47">
            <w:pPr>
              <w:pStyle w:val="59"/>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1F7E7F20">
            <w:pPr>
              <w:pStyle w:val="59"/>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推广健康生活方式</w:t>
            </w:r>
          </w:p>
        </w:tc>
        <w:tc>
          <w:tcPr>
            <w:tcW w:w="5542" w:type="dxa"/>
            <w:tcBorders>
              <w:top w:val="nil"/>
              <w:left w:val="nil"/>
              <w:bottom w:val="nil"/>
              <w:right w:val="nil"/>
            </w:tcBorders>
          </w:tcPr>
          <w:p w14:paraId="15F09AB5">
            <w:pPr>
              <w:pStyle w:val="59"/>
              <w:widowControl w:val="0"/>
              <w:spacing w:line="360" w:lineRule="auto"/>
              <w:ind w:left="0" w:leftChars="0" w:firstLine="0" w:firstLineChars="0"/>
              <w:jc w:val="left"/>
              <w:outlineLvl w:val="9"/>
              <w:rPr>
                <w:rFonts w:hint="eastAsia" w:ascii="Times New Roman"/>
                <w:vertAlign w:val="baseline"/>
                <w:lang w:val="en-US" w:eastAsia="zh-CN"/>
              </w:rPr>
            </w:pPr>
            <w:r>
              <w:rPr>
                <w:rFonts w:hint="eastAsia" w:ascii="Times New Roman"/>
                <w:vertAlign w:val="baseline"/>
                <w:lang w:val="en-US" w:eastAsia="zh-CN"/>
              </w:rPr>
              <w:t>倡导综合健康行为：倡导居民均衡膳食、规律适量运动、维持健康体重、限制钠盐与酒精摄入、彻底戒烟以及保持心理平衡等</w:t>
            </w:r>
          </w:p>
        </w:tc>
      </w:tr>
      <w:tr w14:paraId="5F1DE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41A30DAB">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早期筛查</w:t>
            </w:r>
          </w:p>
        </w:tc>
        <w:tc>
          <w:tcPr>
            <w:tcW w:w="2138" w:type="dxa"/>
            <w:tcBorders>
              <w:top w:val="nil"/>
              <w:left w:val="nil"/>
              <w:bottom w:val="nil"/>
              <w:right w:val="nil"/>
            </w:tcBorders>
            <w:vAlign w:val="center"/>
          </w:tcPr>
          <w:p w14:paraId="002FE983">
            <w:pPr>
              <w:pStyle w:val="59"/>
              <w:widowControl w:val="0"/>
              <w:spacing w:line="360" w:lineRule="auto"/>
              <w:ind w:left="0" w:leftChars="0" w:firstLine="0" w:firstLineChars="0"/>
              <w:jc w:val="center"/>
              <w:outlineLvl w:val="9"/>
              <w:rPr>
                <w:rFonts w:hint="eastAsia" w:ascii="Times New Roman"/>
                <w:vertAlign w:val="baseline"/>
                <w:lang w:val="en-US" w:eastAsia="zh-CN"/>
              </w:rPr>
            </w:pPr>
            <w:r>
              <w:rPr>
                <w:rFonts w:hint="eastAsia" w:ascii="Times New Roman"/>
                <w:vertAlign w:val="baseline"/>
                <w:lang w:val="en-US" w:eastAsia="zh-CN"/>
              </w:rPr>
              <w:t>多渠道高危人群识别</w:t>
            </w:r>
          </w:p>
        </w:tc>
        <w:tc>
          <w:tcPr>
            <w:tcW w:w="5542" w:type="dxa"/>
            <w:tcBorders>
              <w:top w:val="nil"/>
              <w:left w:val="nil"/>
              <w:bottom w:val="nil"/>
              <w:right w:val="nil"/>
            </w:tcBorders>
          </w:tcPr>
          <w:p w14:paraId="3F7B32F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vertAlign w:val="baseline"/>
                <w:lang w:val="en-US" w:eastAsia="zh-CN"/>
              </w:rPr>
            </w:pPr>
            <w:r>
              <w:rPr>
                <w:rFonts w:hint="eastAsia" w:ascii="Times New Roman" w:hAnsi="Times New Roman" w:eastAsia="宋体" w:cs="Times New Roman"/>
                <w:kern w:val="0"/>
                <w:sz w:val="21"/>
                <w:szCs w:val="20"/>
                <w:vertAlign w:val="baseline"/>
                <w:lang w:val="en-US" w:eastAsia="zh-CN" w:bidi="ar-SA"/>
              </w:rPr>
              <w:t>整合多来源资料：</w:t>
            </w:r>
            <w:r>
              <w:rPr>
                <w:rFonts w:hint="eastAsia" w:ascii="Times New Roman" w:hAnsi="Times New Roman" w:cs="Times New Roman"/>
                <w:kern w:val="0"/>
                <w:sz w:val="21"/>
                <w:szCs w:val="20"/>
                <w:vertAlign w:val="baseline"/>
                <w:lang w:val="en-US" w:eastAsia="zh-CN" w:bidi="ar-SA"/>
              </w:rPr>
              <w:t>通过查阅</w:t>
            </w:r>
            <w:r>
              <w:rPr>
                <w:rFonts w:hint="eastAsia" w:ascii="Times New Roman" w:hAnsi="Times New Roman" w:eastAsia="宋体" w:cs="Times New Roman"/>
                <w:kern w:val="0"/>
                <w:sz w:val="21"/>
                <w:szCs w:val="20"/>
                <w:vertAlign w:val="baseline"/>
                <w:lang w:val="en-US" w:eastAsia="zh-CN" w:bidi="ar-SA"/>
              </w:rPr>
              <w:t>居民健康档案、</w:t>
            </w:r>
            <w:r>
              <w:rPr>
                <w:rFonts w:hint="eastAsia" w:ascii="Times New Roman" w:hAnsi="Times New Roman" w:cs="Times New Roman"/>
                <w:kern w:val="0"/>
                <w:sz w:val="21"/>
                <w:szCs w:val="20"/>
                <w:vertAlign w:val="baseline"/>
                <w:lang w:val="en-US" w:eastAsia="zh-CN" w:bidi="ar-SA"/>
              </w:rPr>
              <w:t>开展</w:t>
            </w:r>
            <w:r>
              <w:rPr>
                <w:rFonts w:hint="eastAsia" w:ascii="Times New Roman" w:hAnsi="Times New Roman" w:eastAsia="宋体" w:cs="Times New Roman"/>
                <w:kern w:val="0"/>
                <w:sz w:val="21"/>
                <w:szCs w:val="20"/>
                <w:vertAlign w:val="baseline"/>
                <w:lang w:val="en-US" w:eastAsia="zh-CN" w:bidi="ar-SA"/>
              </w:rPr>
              <w:t>基本公共卫生服务项目</w:t>
            </w:r>
            <w:r>
              <w:rPr>
                <w:rFonts w:hint="eastAsia" w:ascii="Times New Roman" w:hAnsi="Times New Roman" w:cs="Times New Roman"/>
                <w:kern w:val="0"/>
                <w:sz w:val="21"/>
                <w:szCs w:val="20"/>
                <w:vertAlign w:val="baseline"/>
                <w:lang w:val="en-US" w:eastAsia="zh-CN" w:bidi="ar-SA"/>
              </w:rPr>
              <w:t>等</w:t>
            </w:r>
            <w:r>
              <w:rPr>
                <w:rFonts w:hint="eastAsia" w:ascii="Times New Roman" w:hAnsi="Times New Roman" w:eastAsia="宋体" w:cs="Times New Roman"/>
                <w:kern w:val="0"/>
                <w:sz w:val="21"/>
                <w:szCs w:val="20"/>
                <w:vertAlign w:val="baseline"/>
                <w:lang w:val="en-US" w:eastAsia="zh-CN" w:bidi="ar-SA"/>
              </w:rPr>
              <w:t xml:space="preserve">，发现糖尿病高危个体。 </w:t>
            </w:r>
          </w:p>
        </w:tc>
      </w:tr>
      <w:tr w14:paraId="4A25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3FF7403">
            <w:pPr>
              <w:pStyle w:val="59"/>
              <w:widowControl w:val="0"/>
              <w:spacing w:line="360" w:lineRule="auto"/>
              <w:jc w:val="center"/>
              <w:outlineLvl w:val="9"/>
              <w:rPr>
                <w:rFonts w:ascii="Times New Roman"/>
                <w:vertAlign w:val="baseline"/>
              </w:rPr>
            </w:pPr>
          </w:p>
        </w:tc>
        <w:tc>
          <w:tcPr>
            <w:tcW w:w="2138" w:type="dxa"/>
            <w:vMerge w:val="restart"/>
            <w:tcBorders>
              <w:top w:val="nil"/>
              <w:left w:val="nil"/>
              <w:bottom w:val="nil"/>
              <w:right w:val="nil"/>
            </w:tcBorders>
            <w:vAlign w:val="center"/>
          </w:tcPr>
          <w:p w14:paraId="36664557">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高危人群筛查</w:t>
            </w:r>
          </w:p>
        </w:tc>
        <w:tc>
          <w:tcPr>
            <w:tcW w:w="5542" w:type="dxa"/>
            <w:tcBorders>
              <w:top w:val="nil"/>
              <w:left w:val="nil"/>
              <w:bottom w:val="nil"/>
              <w:right w:val="nil"/>
            </w:tcBorders>
          </w:tcPr>
          <w:p w14:paraId="4A8EB98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eastAsia="宋体"/>
                <w:vertAlign w:val="baseline"/>
                <w:lang w:val="en-US" w:eastAsia="zh-CN"/>
              </w:rPr>
            </w:pPr>
            <w:r>
              <w:rPr>
                <w:rFonts w:hint="eastAsia" w:ascii="Times New Roman" w:hAnsi="Times New Roman" w:eastAsia="宋体" w:cs="Times New Roman"/>
                <w:kern w:val="0"/>
                <w:sz w:val="21"/>
                <w:szCs w:val="20"/>
                <w:vertAlign w:val="baseline"/>
                <w:lang w:val="en-US" w:eastAsia="zh-CN" w:bidi="ar-SA"/>
              </w:rPr>
              <w:t>两点法筛查：检测空腹静脉血浆葡萄糖及OGTT 2小时静脉血浆葡萄糖。</w:t>
            </w:r>
            <w:r>
              <w:rPr>
                <w:rFonts w:hint="eastAsia" w:ascii="Times New Roman" w:hAnsi="Times New Roman" w:cs="Times New Roman"/>
                <w:kern w:val="0"/>
                <w:sz w:val="21"/>
                <w:szCs w:val="20"/>
                <w:vertAlign w:val="baseline"/>
                <w:lang w:val="en-US" w:eastAsia="zh-CN" w:bidi="ar-SA"/>
              </w:rPr>
              <w:t>若</w:t>
            </w:r>
            <w:r>
              <w:rPr>
                <w:rFonts w:hint="eastAsia" w:ascii="Times New Roman" w:hAnsi="Times New Roman" w:eastAsia="宋体" w:cs="Times New Roman"/>
                <w:kern w:val="0"/>
                <w:sz w:val="21"/>
                <w:szCs w:val="20"/>
                <w:vertAlign w:val="baseline"/>
                <w:lang w:val="en-US" w:eastAsia="zh-CN" w:bidi="ar-SA"/>
              </w:rPr>
              <w:t>空腹血糖 &lt; 6.1 mmol/L 且 OGTT 2小时血糖 &lt; 7.8 mmol/L</w:t>
            </w:r>
            <w:r>
              <w:rPr>
                <w:rFonts w:hint="eastAsia" w:ascii="Times New Roman" w:hAnsi="Times New Roman" w:cs="Times New Roman"/>
                <w:kern w:val="0"/>
                <w:sz w:val="21"/>
                <w:szCs w:val="20"/>
                <w:vertAlign w:val="baseline"/>
                <w:lang w:val="en-US" w:eastAsia="zh-CN" w:bidi="ar-SA"/>
              </w:rPr>
              <w:t>，则结果正常，建议至少每3年重复筛查一次；若筛查结果为糖尿病前期，建议每年筛查一次。</w:t>
            </w:r>
          </w:p>
        </w:tc>
      </w:tr>
      <w:tr w14:paraId="50B1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646E459">
            <w:pPr>
              <w:pStyle w:val="59"/>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175F9F73">
            <w:pPr>
              <w:pStyle w:val="59"/>
              <w:widowControl w:val="0"/>
              <w:spacing w:line="360" w:lineRule="auto"/>
              <w:jc w:val="center"/>
              <w:outlineLvl w:val="9"/>
              <w:rPr>
                <w:rFonts w:ascii="Times New Roman"/>
                <w:vertAlign w:val="baseline"/>
              </w:rPr>
            </w:pPr>
          </w:p>
        </w:tc>
        <w:tc>
          <w:tcPr>
            <w:tcW w:w="5542" w:type="dxa"/>
            <w:tcBorders>
              <w:top w:val="nil"/>
              <w:left w:val="nil"/>
              <w:bottom w:val="nil"/>
              <w:right w:val="nil"/>
            </w:tcBorders>
          </w:tcPr>
          <w:p w14:paraId="7A265E4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ascii="Times New Roman"/>
                <w:vertAlign w:val="baseline"/>
              </w:rPr>
            </w:pPr>
            <w:r>
              <w:rPr>
                <w:rFonts w:hint="eastAsia" w:ascii="Times New Roman" w:hAnsi="Times New Roman" w:eastAsia="宋体" w:cs="Times New Roman"/>
                <w:kern w:val="0"/>
                <w:sz w:val="21"/>
                <w:szCs w:val="20"/>
                <w:vertAlign w:val="baseline"/>
                <w:lang w:val="en-US" w:eastAsia="zh-CN" w:bidi="ar-SA"/>
              </w:rPr>
              <w:t>中国糖尿病风险评估表</w:t>
            </w:r>
            <w:r>
              <w:rPr>
                <w:rFonts w:hint="eastAsia" w:ascii="Times New Roman" w:hAnsi="Times New Roman" w:cs="Times New Roman"/>
                <w:kern w:val="0"/>
                <w:sz w:val="21"/>
                <w:szCs w:val="20"/>
                <w:vertAlign w:val="baseline"/>
                <w:lang w:val="en-US" w:eastAsia="zh-CN" w:bidi="ar-SA"/>
              </w:rPr>
              <w:t>筛查：</w:t>
            </w:r>
            <w:r>
              <w:rPr>
                <w:rFonts w:hint="eastAsia" w:ascii="Times New Roman" w:hAnsi="Times New Roman" w:eastAsia="宋体" w:cs="Times New Roman"/>
                <w:kern w:val="0"/>
                <w:sz w:val="21"/>
                <w:szCs w:val="20"/>
                <w:vertAlign w:val="baseline"/>
                <w:lang w:val="en-US" w:eastAsia="zh-CN" w:bidi="ar-SA"/>
              </w:rPr>
              <w:t>评分达标者（如总分≥25分）建议进行实验室血糖检测，至少每3年重复筛查一次；若筛查结果为糖尿病前期，建议每年筛查一次。</w:t>
            </w:r>
          </w:p>
        </w:tc>
      </w:tr>
      <w:tr w14:paraId="6F60A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46A17488">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分级管理</w:t>
            </w:r>
          </w:p>
          <w:p w14:paraId="30F5E03E">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4767D772">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cs="Times New Roman"/>
                <w:kern w:val="0"/>
                <w:sz w:val="21"/>
                <w:szCs w:val="20"/>
                <w:vertAlign w:val="baseline"/>
                <w:lang w:val="en-US" w:eastAsia="zh-CN" w:bidi="ar-SA"/>
              </w:rPr>
              <w:t>定期随访与评估</w:t>
            </w:r>
          </w:p>
        </w:tc>
        <w:tc>
          <w:tcPr>
            <w:tcW w:w="5542" w:type="dxa"/>
            <w:tcBorders>
              <w:top w:val="nil"/>
              <w:left w:val="nil"/>
              <w:bottom w:val="nil"/>
              <w:right w:val="nil"/>
            </w:tcBorders>
            <w:vAlign w:val="top"/>
          </w:tcPr>
          <w:p w14:paraId="7EA505C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执行定期随访核心内容检查：每次随访应做好空腹血糖与血压监测、及时识别危急情况并做好转诊以及做好患者综合状况的评估。</w:t>
            </w:r>
          </w:p>
        </w:tc>
      </w:tr>
      <w:tr w14:paraId="4778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D3E7E93">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385235C3">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1966A0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实施分级干预措施与健康指导：</w:t>
            </w:r>
          </w:p>
          <w:p w14:paraId="2C45BE9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①</w:t>
            </w:r>
            <w:r>
              <w:rPr>
                <w:rFonts w:hint="eastAsia" w:ascii="Times New Roman" w:hAnsi="Times New Roman" w:eastAsia="宋体" w:cs="Times New Roman"/>
                <w:kern w:val="0"/>
                <w:sz w:val="21"/>
                <w:szCs w:val="20"/>
                <w:vertAlign w:val="baseline"/>
                <w:lang w:val="en-US" w:eastAsia="zh-CN" w:bidi="ar-SA"/>
              </w:rPr>
              <w:t>控制满意者，予以健康指导并预约下一次常规随访</w:t>
            </w:r>
            <w:r>
              <w:rPr>
                <w:rFonts w:hint="eastAsia" w:ascii="Times New Roman" w:hAnsi="Times New Roman" w:cs="Times New Roman"/>
                <w:kern w:val="0"/>
                <w:sz w:val="21"/>
                <w:szCs w:val="20"/>
                <w:vertAlign w:val="baseline"/>
                <w:lang w:val="en-US" w:eastAsia="zh-CN" w:bidi="ar-SA"/>
              </w:rPr>
              <w:t>；</w:t>
            </w:r>
          </w:p>
          <w:p w14:paraId="5B561F0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②初次出现血糖控制不达标或轻度药物不良反应者，应重点评估治疗依从性，进行针对性指导，并可在2周后增加一次短期随访；</w:t>
            </w:r>
          </w:p>
          <w:p w14:paraId="1DC1840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③连续两次血糖控制不达标、不良反应控制不佳，或出现新发/加重并发症的患者，应建议并协助其转诊至上级医院，并在2周内主动随访。</w:t>
            </w:r>
          </w:p>
          <w:p w14:paraId="5788FCE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④每次随访均应为患者提供个体化健康教育，共同制定并回顾生活方式改进目标，明确需及时就医的异常体征。</w:t>
            </w:r>
          </w:p>
        </w:tc>
      </w:tr>
      <w:tr w14:paraId="71A0D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70E2D59E">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7D224A5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p w14:paraId="719E6F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患者教育与管理支持</w:t>
            </w:r>
          </w:p>
          <w:p w14:paraId="44EEC15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p w14:paraId="3DAE217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200C4F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系统化</w:t>
            </w:r>
            <w:r>
              <w:rPr>
                <w:rFonts w:hint="eastAsia" w:ascii="Times New Roman" w:hAnsi="Times New Roman" w:cs="Times New Roman"/>
                <w:kern w:val="0"/>
                <w:sz w:val="21"/>
                <w:szCs w:val="20"/>
                <w:vertAlign w:val="baseline"/>
                <w:lang w:val="en-US" w:eastAsia="zh-CN" w:bidi="ar-SA"/>
              </w:rPr>
              <w:t>与</w:t>
            </w:r>
            <w:r>
              <w:rPr>
                <w:rFonts w:hint="eastAsia" w:ascii="Times New Roman" w:hAnsi="Times New Roman" w:eastAsia="宋体" w:cs="Times New Roman"/>
                <w:kern w:val="0"/>
                <w:sz w:val="21"/>
                <w:szCs w:val="20"/>
                <w:vertAlign w:val="baseline"/>
                <w:lang w:val="en-US" w:eastAsia="zh-CN" w:bidi="ar-SA"/>
              </w:rPr>
              <w:t>多形式教育方式：多形式并举，涵盖个体化指导、集体教育、同伴支持、家庭参与及数字化远程教育，以提升患者自我管理能力。</w:t>
            </w:r>
          </w:p>
        </w:tc>
      </w:tr>
      <w:tr w14:paraId="0FB4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87F1D80">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38EF5F7">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5DE60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规范化教育管理流程：评估患者需求与问题，制定个性化教育目标与计划，通过适宜方式实施</w:t>
            </w:r>
            <w:r>
              <w:rPr>
                <w:rFonts w:hint="eastAsia" w:ascii="Times New Roman" w:hAnsi="Times New Roman" w:cs="Times New Roman"/>
                <w:kern w:val="0"/>
                <w:sz w:val="21"/>
                <w:szCs w:val="20"/>
                <w:vertAlign w:val="baseline"/>
                <w:lang w:val="en-US" w:eastAsia="zh-CN" w:bidi="ar-SA"/>
              </w:rPr>
              <w:t>。</w:t>
            </w:r>
          </w:p>
        </w:tc>
      </w:tr>
      <w:tr w14:paraId="5526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EFDF7E0">
            <w:pPr>
              <w:pStyle w:val="59"/>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3347D629">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年度全面健康体检</w:t>
            </w:r>
          </w:p>
        </w:tc>
        <w:tc>
          <w:tcPr>
            <w:tcW w:w="5542" w:type="dxa"/>
            <w:tcBorders>
              <w:top w:val="nil"/>
              <w:left w:val="nil"/>
              <w:bottom w:val="nil"/>
              <w:right w:val="nil"/>
            </w:tcBorders>
            <w:vAlign w:val="top"/>
          </w:tcPr>
          <w:p w14:paraId="3D37C41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实施全面年度健康检查：每年为确诊患者提供1次全面的健康体检，涵盖一般状况与生命体征、常规体格检查及器官功能评估，以系统评估其整体健康状况及并发症迹象。</w:t>
            </w:r>
          </w:p>
        </w:tc>
      </w:tr>
      <w:tr w14:paraId="5870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1674C688">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r>
              <w:rPr>
                <w:rFonts w:hint="eastAsia" w:ascii="宋体" w:hAnsi="宋体" w:eastAsia="宋体" w:cs="宋体"/>
                <w:b w:val="0"/>
                <w:i w:val="0"/>
                <w:iCs w:val="0"/>
                <w:color w:val="000000"/>
                <w:kern w:val="0"/>
                <w:sz w:val="21"/>
                <w:szCs w:val="21"/>
                <w:u w:val="none"/>
                <w:lang w:val="en-US" w:eastAsia="zh-CN" w:bidi="ar"/>
              </w:rPr>
              <w:t>规范治疗</w:t>
            </w:r>
          </w:p>
        </w:tc>
        <w:tc>
          <w:tcPr>
            <w:tcW w:w="2138" w:type="dxa"/>
            <w:vMerge w:val="restart"/>
            <w:tcBorders>
              <w:top w:val="nil"/>
              <w:left w:val="nil"/>
              <w:bottom w:val="nil"/>
              <w:right w:val="nil"/>
            </w:tcBorders>
            <w:vAlign w:val="center"/>
          </w:tcPr>
          <w:p w14:paraId="25DDFB48">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营养治疗</w:t>
            </w:r>
          </w:p>
        </w:tc>
        <w:tc>
          <w:tcPr>
            <w:tcW w:w="5542" w:type="dxa"/>
            <w:tcBorders>
              <w:top w:val="nil"/>
              <w:left w:val="nil"/>
              <w:bottom w:val="nil"/>
              <w:right w:val="nil"/>
            </w:tcBorders>
            <w:vAlign w:val="top"/>
          </w:tcPr>
          <w:p w14:paraId="24CD5A9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能量与体重管理：制定个体化能量平衡计划</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超重/肥胖者目标为减重5%以上</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每日能量摄入参考标准体重计算并</w:t>
            </w:r>
            <w:r>
              <w:rPr>
                <w:rFonts w:hint="eastAsia" w:ascii="Times New Roman" w:hAnsi="Times New Roman" w:cs="Times New Roman"/>
                <w:kern w:val="0"/>
                <w:sz w:val="21"/>
                <w:szCs w:val="20"/>
                <w:vertAlign w:val="baseline"/>
                <w:lang w:val="en-US" w:eastAsia="zh-CN" w:bidi="ar-SA"/>
              </w:rPr>
              <w:t>根据实际情况</w:t>
            </w:r>
            <w:r>
              <w:rPr>
                <w:rFonts w:hint="default" w:ascii="Times New Roman" w:hAnsi="Times New Roman" w:eastAsia="宋体" w:cs="Times New Roman"/>
                <w:kern w:val="0"/>
                <w:sz w:val="21"/>
                <w:szCs w:val="20"/>
                <w:vertAlign w:val="baseline"/>
                <w:lang w:val="en-US" w:eastAsia="zh-CN" w:bidi="ar-SA"/>
              </w:rPr>
              <w:t>调整。</w:t>
            </w:r>
          </w:p>
        </w:tc>
      </w:tr>
      <w:tr w14:paraId="75E3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30869E4">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ECC5E7F">
            <w:pPr>
              <w:pStyle w:val="59"/>
              <w:widowControl w:val="0"/>
              <w:spacing w:line="360" w:lineRule="auto"/>
              <w:ind w:left="0" w:leftChars="0" w:firstLine="0" w:firstLineChars="0"/>
              <w:jc w:val="center"/>
              <w:outlineLvl w:val="9"/>
              <w:rPr>
                <w:rFonts w:hint="eastAsia" w:ascii="Times New Roman"/>
                <w:vertAlign w:val="baseline"/>
                <w:lang w:val="en-US" w:eastAsia="zh-CN"/>
              </w:rPr>
            </w:pPr>
          </w:p>
        </w:tc>
        <w:tc>
          <w:tcPr>
            <w:tcW w:w="5542" w:type="dxa"/>
            <w:tcBorders>
              <w:top w:val="nil"/>
              <w:left w:val="nil"/>
              <w:bottom w:val="nil"/>
              <w:right w:val="nil"/>
            </w:tcBorders>
            <w:vAlign w:val="top"/>
          </w:tcPr>
          <w:p w14:paraId="1786B8B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宏量营养素分配与食物选择</w:t>
            </w:r>
            <w:r>
              <w:rPr>
                <w:rFonts w:hint="eastAsia" w:ascii="Times New Roman" w:hAnsi="Times New Roman" w:eastAsia="宋体"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碳水化合物供能比45%-60%，优选低GI高纤维食物，限添加糖</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脂肪供能比20%-35%，优化脂肪酸构成，限饱和与反式脂肪，胆固醇&lt;300mg/日</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蛋白质供能比15%-20%（肾功正常者），保证优质蛋白，肾损者酌情限制。</w:t>
            </w:r>
          </w:p>
        </w:tc>
      </w:tr>
      <w:tr w14:paraId="1DF8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A8DC5C6">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1D97BFBE">
            <w:pPr>
              <w:pStyle w:val="59"/>
              <w:widowControl w:val="0"/>
              <w:spacing w:line="360" w:lineRule="auto"/>
              <w:ind w:left="0" w:leftChars="0" w:firstLine="0" w:firstLineChars="0"/>
              <w:jc w:val="center"/>
              <w:outlineLvl w:val="9"/>
              <w:rPr>
                <w:rFonts w:hint="eastAsia" w:ascii="Times New Roman"/>
                <w:vertAlign w:val="baseline"/>
                <w:lang w:val="en-US" w:eastAsia="zh-CN"/>
              </w:rPr>
            </w:pPr>
          </w:p>
        </w:tc>
        <w:tc>
          <w:tcPr>
            <w:tcW w:w="5542" w:type="dxa"/>
            <w:tcBorders>
              <w:top w:val="nil"/>
              <w:left w:val="nil"/>
              <w:bottom w:val="nil"/>
              <w:right w:val="nil"/>
            </w:tcBorders>
            <w:vAlign w:val="top"/>
          </w:tcPr>
          <w:p w14:paraId="7EA5C12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其他饮食建议：</w:t>
            </w:r>
            <w:r>
              <w:rPr>
                <w:rFonts w:hint="default" w:ascii="Times New Roman" w:hAnsi="Times New Roman" w:eastAsia="宋体" w:cs="Times New Roman"/>
                <w:kern w:val="0"/>
                <w:sz w:val="21"/>
                <w:szCs w:val="20"/>
                <w:vertAlign w:val="baseline"/>
                <w:lang w:val="en-US" w:eastAsia="zh-CN" w:bidi="ar-SA"/>
              </w:rPr>
              <w:t>限盐：每日&lt;5克，高血压者进一步限制</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限酒：不推荐，若饮需严格限量并计入总能量</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保证膳食多样性，酌情补充微量营养素。</w:t>
            </w:r>
          </w:p>
        </w:tc>
      </w:tr>
      <w:tr w14:paraId="6A79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563737B8">
            <w:pPr>
              <w:pStyle w:val="59"/>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740E7CC5">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运动治疗</w:t>
            </w:r>
          </w:p>
        </w:tc>
        <w:tc>
          <w:tcPr>
            <w:tcW w:w="5542" w:type="dxa"/>
            <w:tcBorders>
              <w:top w:val="nil"/>
              <w:left w:val="nil"/>
              <w:bottom w:val="nil"/>
              <w:right w:val="nil"/>
            </w:tcBorders>
            <w:vAlign w:val="top"/>
          </w:tcPr>
          <w:p w14:paraId="0F76FB9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提供运动治疗建议：建议每周≥150-300分钟中强度有氧运动，联合≥2次抗阻训练，但</w:t>
            </w:r>
            <w:r>
              <w:rPr>
                <w:rFonts w:hint="default" w:ascii="Times New Roman" w:hAnsi="Times New Roman" w:eastAsia="宋体" w:cs="Times New Roman"/>
                <w:kern w:val="0"/>
                <w:sz w:val="21"/>
                <w:szCs w:val="20"/>
                <w:vertAlign w:val="baseline"/>
                <w:lang w:val="en-US" w:eastAsia="zh-CN" w:bidi="ar-SA"/>
              </w:rPr>
              <w:t>计划需个体化，</w:t>
            </w:r>
            <w:r>
              <w:rPr>
                <w:rFonts w:hint="eastAsia" w:ascii="Times New Roman" w:hAnsi="Times New Roman" w:eastAsia="宋体" w:cs="Times New Roman"/>
                <w:kern w:val="0"/>
                <w:sz w:val="21"/>
                <w:szCs w:val="20"/>
                <w:vertAlign w:val="baseline"/>
                <w:lang w:val="en-US" w:eastAsia="zh-CN" w:bidi="ar-SA"/>
              </w:rPr>
              <w:t>定期</w:t>
            </w:r>
            <w:r>
              <w:rPr>
                <w:rFonts w:hint="default" w:ascii="Times New Roman" w:hAnsi="Times New Roman" w:eastAsia="宋体" w:cs="Times New Roman"/>
                <w:kern w:val="0"/>
                <w:sz w:val="21"/>
                <w:szCs w:val="20"/>
                <w:vertAlign w:val="baseline"/>
                <w:lang w:val="en-US" w:eastAsia="zh-CN" w:bidi="ar-SA"/>
              </w:rPr>
              <w:t>评估并发症相关风险。</w:t>
            </w:r>
          </w:p>
        </w:tc>
      </w:tr>
      <w:tr w14:paraId="042F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2DAFDC2C">
            <w:pPr>
              <w:pStyle w:val="59"/>
              <w:widowControl w:val="0"/>
              <w:spacing w:line="360" w:lineRule="auto"/>
              <w:ind w:firstLine="420" w:firstLineChars="200"/>
              <w:jc w:val="center"/>
              <w:outlineLvl w:val="9"/>
              <w:rPr>
                <w:rFonts w:ascii="Times New Roman"/>
                <w:vertAlign w:val="baseline"/>
              </w:rPr>
            </w:pPr>
          </w:p>
        </w:tc>
        <w:tc>
          <w:tcPr>
            <w:tcW w:w="2138" w:type="dxa"/>
            <w:vMerge w:val="restart"/>
            <w:tcBorders>
              <w:top w:val="nil"/>
              <w:left w:val="nil"/>
              <w:bottom w:val="nil"/>
              <w:right w:val="nil"/>
            </w:tcBorders>
            <w:vAlign w:val="center"/>
          </w:tcPr>
          <w:p w14:paraId="79C496A0">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药物治疗</w:t>
            </w:r>
          </w:p>
        </w:tc>
        <w:tc>
          <w:tcPr>
            <w:tcW w:w="5542" w:type="dxa"/>
            <w:tcBorders>
              <w:top w:val="nil"/>
              <w:left w:val="nil"/>
              <w:bottom w:val="nil"/>
              <w:right w:val="nil"/>
            </w:tcBorders>
            <w:vAlign w:val="top"/>
          </w:tcPr>
          <w:p w14:paraId="3027D83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口服降糖药：要根据作用机制选择合适药物，</w:t>
            </w:r>
            <w:r>
              <w:rPr>
                <w:rFonts w:hint="default" w:ascii="Times New Roman" w:hAnsi="Times New Roman" w:eastAsia="宋体" w:cs="Times New Roman"/>
                <w:kern w:val="0"/>
                <w:sz w:val="21"/>
                <w:szCs w:val="20"/>
                <w:vertAlign w:val="baseline"/>
                <w:lang w:val="en-US" w:eastAsia="zh-CN" w:bidi="ar-SA"/>
              </w:rPr>
              <w:t>建议早期合理联合作用机制互补的药物。</w:t>
            </w:r>
          </w:p>
        </w:tc>
      </w:tr>
      <w:tr w14:paraId="2075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0F2A68DB">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5797A425">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3A3DE3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胰岛素及肠促胰素类药物应用：适时进行胰岛素治疗，</w:t>
            </w:r>
            <w:r>
              <w:rPr>
                <w:rFonts w:hint="default" w:ascii="Times New Roman" w:hAnsi="Times New Roman" w:eastAsia="宋体" w:cs="Times New Roman"/>
                <w:kern w:val="0"/>
                <w:sz w:val="21"/>
                <w:szCs w:val="20"/>
                <w:vertAlign w:val="baseline"/>
                <w:lang w:val="en-US" w:eastAsia="zh-CN" w:bidi="ar-SA"/>
              </w:rPr>
              <w:t>GLP-1RA适用于合并ASCVD、心衰或肥胖的T2DM患者。</w:t>
            </w:r>
          </w:p>
        </w:tc>
      </w:tr>
      <w:tr w14:paraId="457C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0C2C0F28">
            <w:pPr>
              <w:pStyle w:val="59"/>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70090D4E">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体重综合管理</w:t>
            </w:r>
          </w:p>
        </w:tc>
        <w:tc>
          <w:tcPr>
            <w:tcW w:w="5542" w:type="dxa"/>
            <w:tcBorders>
              <w:top w:val="nil"/>
              <w:left w:val="nil"/>
              <w:bottom w:val="nil"/>
              <w:right w:val="nil"/>
            </w:tcBorders>
            <w:vAlign w:val="top"/>
          </w:tcPr>
          <w:p w14:paraId="14A5D69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实施体重综合管理策略：初始目标</w:t>
            </w:r>
            <w:r>
              <w:rPr>
                <w:rFonts w:hint="eastAsia" w:ascii="Times New Roman" w:hAnsi="Times New Roman" w:cs="Times New Roman"/>
                <w:kern w:val="0"/>
                <w:sz w:val="21"/>
                <w:szCs w:val="20"/>
                <w:vertAlign w:val="baseline"/>
                <w:lang w:val="en-US" w:eastAsia="zh-CN" w:bidi="ar-SA"/>
              </w:rPr>
              <w:t>为</w:t>
            </w:r>
            <w:r>
              <w:rPr>
                <w:rFonts w:hint="eastAsia" w:ascii="Times New Roman" w:hAnsi="Times New Roman" w:eastAsia="宋体" w:cs="Times New Roman"/>
                <w:kern w:val="0"/>
                <w:sz w:val="21"/>
                <w:szCs w:val="20"/>
                <w:vertAlign w:val="baseline"/>
                <w:lang w:val="en-US" w:eastAsia="zh-CN" w:bidi="ar-SA"/>
              </w:rPr>
              <w:t>通过生活方式干预减重≥5%</w:t>
            </w:r>
            <w:r>
              <w:rPr>
                <w:rFonts w:hint="eastAsia" w:ascii="Times New Roman" w:hAnsi="Times New Roman" w:cs="Times New Roman"/>
                <w:kern w:val="0"/>
                <w:sz w:val="21"/>
                <w:szCs w:val="20"/>
                <w:vertAlign w:val="baseline"/>
                <w:lang w:val="en-US" w:eastAsia="zh-CN" w:bidi="ar-SA"/>
              </w:rPr>
              <w:t>；</w:t>
            </w:r>
            <w:r>
              <w:rPr>
                <w:rFonts w:hint="default" w:ascii="Times New Roman" w:hAnsi="Times New Roman" w:eastAsia="宋体" w:cs="Times New Roman"/>
                <w:kern w:val="0"/>
                <w:sz w:val="21"/>
                <w:szCs w:val="20"/>
                <w:vertAlign w:val="baseline"/>
                <w:lang w:val="en-US" w:eastAsia="zh-CN" w:bidi="ar-SA"/>
              </w:rPr>
              <w:t>效果不佳时，优先选用兼具减重作用的降糖药。</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cs="Times New Roman"/>
                <w:kern w:val="0"/>
                <w:sz w:val="21"/>
                <w:szCs w:val="20"/>
                <w:vertAlign w:val="baseline"/>
                <w:lang w:val="en-US" w:eastAsia="zh-CN" w:bidi="ar-SA"/>
              </w:rPr>
              <w:t>对于</w:t>
            </w:r>
            <w:r>
              <w:rPr>
                <w:rFonts w:hint="default" w:ascii="Times New Roman" w:hAnsi="Times New Roman" w:eastAsia="宋体" w:cs="Times New Roman"/>
                <w:kern w:val="0"/>
                <w:sz w:val="21"/>
                <w:szCs w:val="20"/>
                <w:vertAlign w:val="baseline"/>
                <w:lang w:val="en-US" w:eastAsia="zh-CN" w:bidi="ar-SA"/>
              </w:rPr>
              <w:t>重度肥胖且药物控制不佳者，可评估代谢手术。</w:t>
            </w:r>
          </w:p>
        </w:tc>
      </w:tr>
      <w:tr w14:paraId="135B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1EDE467C">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功能康复</w:t>
            </w:r>
          </w:p>
        </w:tc>
        <w:tc>
          <w:tcPr>
            <w:tcW w:w="2138" w:type="dxa"/>
            <w:vMerge w:val="restart"/>
            <w:tcBorders>
              <w:top w:val="nil"/>
              <w:left w:val="nil"/>
              <w:bottom w:val="nil"/>
              <w:right w:val="nil"/>
            </w:tcBorders>
            <w:vAlign w:val="center"/>
          </w:tcPr>
          <w:p w14:paraId="4A0EB642">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生活方式核心干预</w:t>
            </w:r>
          </w:p>
        </w:tc>
        <w:tc>
          <w:tcPr>
            <w:tcW w:w="5542" w:type="dxa"/>
            <w:tcBorders>
              <w:top w:val="nil"/>
              <w:left w:val="nil"/>
              <w:bottom w:val="nil"/>
              <w:right w:val="nil"/>
            </w:tcBorders>
            <w:vAlign w:val="top"/>
          </w:tcPr>
          <w:p w14:paraId="71D18CA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医学营养治疗原则：饮食干预应遵循个体化能量平衡与营养素优化分配原则。碳水化合物供能比45%-60%，优先选择低升糖指数食物，限制添加糖；脂肪供能比≤35%，鼓励不饱和脂肪酸，限制饱和与反式脂肪酸；蛋白质供能比15%-20%，保证优质蛋白，肾功能受损者需调整；保证膳食纤维与微量营养素摄入；推荐规律进餐，定时定量，可据需采取少食多餐。</w:t>
            </w:r>
          </w:p>
        </w:tc>
      </w:tr>
      <w:tr w14:paraId="6A16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589EB44C">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top"/>
          </w:tcPr>
          <w:p w14:paraId="521129C9">
            <w:pPr>
              <w:pStyle w:val="59"/>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27ED023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规律运动方案：建议成年患者每周累计≥150分钟中等强度有氧运动，并联合每周2-3次抗阻训练；运动需循序渐进、持之以恒，运动前评估风险，运动中及运动后监测血糖变化。</w:t>
            </w:r>
          </w:p>
        </w:tc>
      </w:tr>
      <w:tr w14:paraId="078D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33F408C5">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05779955">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心理社会支持与自我管理赋能</w:t>
            </w:r>
          </w:p>
        </w:tc>
        <w:tc>
          <w:tcPr>
            <w:tcW w:w="5542" w:type="dxa"/>
            <w:tcBorders>
              <w:top w:val="nil"/>
              <w:left w:val="nil"/>
              <w:bottom w:val="nil"/>
              <w:right w:val="nil"/>
            </w:tcBorders>
            <w:vAlign w:val="top"/>
          </w:tcPr>
          <w:p w14:paraId="0C29E1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心理支持干预：定期评估患者心理状态，对焦虑、抑郁等问题提供专业支持；可采用认知行为疗法、正念减压等技术；鼓励建立病友支持团体。</w:t>
            </w:r>
          </w:p>
        </w:tc>
      </w:tr>
      <w:tr w14:paraId="63CE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2D5DC4C2">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049D1ACD">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2222810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自我管理能力建设：教育指导患者掌握自我血糖监测与记录技能；指导患者进行规范的药物管理，提高依从性；帮助患者掌握基本的膳食计划与食物选择能力。</w:t>
            </w:r>
          </w:p>
        </w:tc>
      </w:tr>
      <w:tr w14:paraId="3E0F9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45183064">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1508D3D4">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特殊人群康复干预</w:t>
            </w:r>
          </w:p>
        </w:tc>
        <w:tc>
          <w:tcPr>
            <w:tcW w:w="5542" w:type="dxa"/>
            <w:tcBorders>
              <w:top w:val="nil"/>
              <w:left w:val="nil"/>
              <w:bottom w:val="nil"/>
              <w:right w:val="nil"/>
            </w:tcBorders>
            <w:vAlign w:val="top"/>
          </w:tcPr>
          <w:p w14:paraId="53697B3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特殊人群干预调整：老年患者需综合考量认知功能、预期寿命及合并症，优先安全性，避免严重低血糖，运动以安全、低强度为主；妊娠期高血糖女性需制定严格血糖控制目标与监测计划，营养方案应保证母胎需求，运动评估胎儿安全性；I型糖尿病患者干预核心在于实现胰岛素剂量、碳水化合物摄入与体力活动的精细平衡，重点教育识别与预防酮症酸中毒。</w:t>
            </w:r>
          </w:p>
        </w:tc>
      </w:tr>
      <w:tr w14:paraId="0CAE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6200FDD8">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69C7633E">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干预效果评估与方案调整</w:t>
            </w:r>
          </w:p>
        </w:tc>
        <w:tc>
          <w:tcPr>
            <w:tcW w:w="5542" w:type="dxa"/>
            <w:tcBorders>
              <w:top w:val="nil"/>
              <w:left w:val="nil"/>
              <w:bottom w:val="nil"/>
              <w:right w:val="nil"/>
            </w:tcBorders>
            <w:vAlign w:val="top"/>
          </w:tcPr>
          <w:p w14:paraId="7650A4A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效果评估与动态调整：应定期（如每3-6个月）综合评估患者代谢指标、自我管理行为改善程度、生命质量及心理状态；根据评估结果对干预方案进行动态、个体化的调整与优化。</w:t>
            </w:r>
          </w:p>
        </w:tc>
      </w:tr>
      <w:tr w14:paraId="319A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2DF2415A">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长期护理</w:t>
            </w:r>
          </w:p>
        </w:tc>
        <w:tc>
          <w:tcPr>
            <w:tcW w:w="2138" w:type="dxa"/>
            <w:vMerge w:val="restart"/>
            <w:tcBorders>
              <w:top w:val="nil"/>
              <w:left w:val="nil"/>
              <w:bottom w:val="nil"/>
              <w:right w:val="nil"/>
            </w:tcBorders>
            <w:vAlign w:val="center"/>
          </w:tcPr>
          <w:p w14:paraId="0F8EA1DD">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核心护理措施</w:t>
            </w:r>
          </w:p>
        </w:tc>
        <w:tc>
          <w:tcPr>
            <w:tcW w:w="5542" w:type="dxa"/>
            <w:tcBorders>
              <w:top w:val="nil"/>
              <w:left w:val="nil"/>
              <w:bottom w:val="nil"/>
              <w:right w:val="nil"/>
            </w:tcBorders>
            <w:vAlign w:val="top"/>
          </w:tcPr>
          <w:p w14:paraId="719394D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患者与家庭健康教育：系统讲解疾病本质、类型、临床表现、治疗目标及并发症，为自我管理奠定知识基础。</w:t>
            </w:r>
          </w:p>
        </w:tc>
      </w:tr>
      <w:tr w14:paraId="3C88E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5EC6D2A6">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319FEF73">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0288864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自我管理技能指导：指导患者规范进行血糖自我监测与记录；依据个体化医学营养治疗原则指导饮食，指导制定并执行规律、安全的运动计划（有氧结合抗阻）；指导患者理解口服药物与胰岛素的作用、用法、不良反应及注意事项，并教授正确的胰岛素注射技术</w:t>
            </w:r>
            <w:r>
              <w:rPr>
                <w:rFonts w:hint="eastAsia" w:ascii="Times New Roman" w:hAnsi="Times New Roman" w:eastAsia="宋体" w:cs="Times New Roman"/>
                <w:kern w:val="0"/>
                <w:sz w:val="21"/>
                <w:szCs w:val="20"/>
                <w:vertAlign w:val="baseline"/>
                <w:lang w:val="en-US" w:eastAsia="zh-CN" w:bidi="ar-SA"/>
              </w:rPr>
              <w:t>。</w:t>
            </w:r>
          </w:p>
        </w:tc>
      </w:tr>
      <w:tr w14:paraId="626D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497A9310">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1F6FC526">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1287653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并发症的预防性护理：实施标准化的足部护理教育（每日清洗检查、正确修剪趾甲、穿着合适鞋袜）并强调每年专业足部评估；督促并协助患者遵医嘱完成视网膜、肾脏、神经病变及心血管风险的定期筛查。</w:t>
            </w:r>
          </w:p>
        </w:tc>
      </w:tr>
      <w:tr w14:paraId="09FD6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5FCC9703">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51922AF0">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不同照护场景下的护理重点</w:t>
            </w:r>
          </w:p>
        </w:tc>
        <w:tc>
          <w:tcPr>
            <w:tcW w:w="5542" w:type="dxa"/>
            <w:tcBorders>
              <w:top w:val="nil"/>
              <w:left w:val="nil"/>
              <w:bottom w:val="nil"/>
              <w:right w:val="nil"/>
            </w:tcBorders>
            <w:vAlign w:val="top"/>
          </w:tcPr>
          <w:p w14:paraId="454010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居家/社区照护：重点为强化自我管理与家庭支持，包括确保家庭配备必要监测设备与急救物品；培训家属识别与处理低血糖等急性事件；利用通讯或数字工具进行远程随访与指导。</w:t>
            </w:r>
          </w:p>
        </w:tc>
      </w:tr>
      <w:tr w14:paraId="515D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1CB8B58">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31A083CD">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034CBB8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医疗机构照护：侧重于系统化、专业化管理与安全防护，包括入住时全面评估；由护理人员严格执行医嘱、监督用药、定时监测生命体征与血糖；在医生主导下与多学科团队协同制定执行个体化计划；重点防范低血糖导致的跌倒等安全风险。</w:t>
            </w:r>
          </w:p>
        </w:tc>
      </w:tr>
      <w:tr w14:paraId="1E70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62B76D7">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087C3EB9">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急性并发症的识别与紧急处理</w:t>
            </w:r>
          </w:p>
        </w:tc>
        <w:tc>
          <w:tcPr>
            <w:tcW w:w="5542" w:type="dxa"/>
            <w:tcBorders>
              <w:top w:val="nil"/>
              <w:left w:val="nil"/>
              <w:bottom w:val="nil"/>
              <w:right w:val="nil"/>
            </w:tcBorders>
            <w:vAlign w:val="top"/>
          </w:tcPr>
          <w:p w14:paraId="136DC26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低血糖的识别与处理：识别心慌、出汗、颤抖、头晕、意识改变等症状；意识清醒者立即口服15-20克葡萄糖，意识障碍者需立即就医并严禁经口喂食。</w:t>
            </w:r>
          </w:p>
        </w:tc>
      </w:tr>
      <w:tr w14:paraId="187B0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1D0FE8A6">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5DC4980D">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59E3FA0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高血糖危象的识别与处理：识别极度口渴、多尿、恶心呕吐、深大呼吸、烂苹果味呼吸及意识障碍等征象；属于急危重症，必须立即启动紧急医疗转运。</w:t>
            </w:r>
          </w:p>
        </w:tc>
      </w:tr>
      <w:tr w14:paraId="7D85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right w:val="nil"/>
            </w:tcBorders>
            <w:vAlign w:val="center"/>
          </w:tcPr>
          <w:p w14:paraId="6120B49C">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right w:val="nil"/>
            </w:tcBorders>
            <w:vAlign w:val="center"/>
          </w:tcPr>
          <w:p w14:paraId="06CA7E38">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慢性并发症的监测与风险管理</w:t>
            </w:r>
          </w:p>
        </w:tc>
        <w:tc>
          <w:tcPr>
            <w:tcW w:w="5542" w:type="dxa"/>
            <w:tcBorders>
              <w:top w:val="nil"/>
              <w:left w:val="nil"/>
              <w:right w:val="nil"/>
            </w:tcBorders>
            <w:vAlign w:val="top"/>
          </w:tcPr>
          <w:p w14:paraId="7C36A98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长期监测计划：建立并落实慢性并发症长期监测计划，核心包括按指南频率进行眼底检查、尿白蛋白/肌酐比值测定、足部及神经病变筛查；对合并高血压、血脂异常的患者实施严格的血压与血脂管理。</w:t>
            </w:r>
          </w:p>
        </w:tc>
      </w:tr>
    </w:tbl>
    <w:p w14:paraId="4C04F32A">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5.5 肺癌</w:t>
      </w:r>
    </w:p>
    <w:p w14:paraId="3DD76D6D">
      <w:pPr>
        <w:pStyle w:val="64"/>
        <w:numPr>
          <w:ilvl w:val="1"/>
          <w:numId w:val="0"/>
        </w:numPr>
        <w:adjustRightInd w:val="0"/>
        <w:snapToGrid w:val="0"/>
        <w:spacing w:before="240" w:after="240" w:line="360" w:lineRule="auto"/>
        <w:jc w:val="left"/>
        <w:outlineLvl w:val="9"/>
        <w:rPr>
          <w:rFonts w:hint="default" w:hAnsi="黑体" w:cs="黑体"/>
          <w:b/>
          <w:bCs/>
          <w:szCs w:val="21"/>
          <w:lang w:val="en-US" w:eastAsia="zh-CN"/>
        </w:rPr>
      </w:pPr>
      <w:r>
        <w:rPr>
          <w:rFonts w:hint="eastAsia" w:hAnsi="黑体" w:cs="黑体"/>
          <w:b/>
          <w:bCs/>
          <w:szCs w:val="21"/>
          <w:lang w:val="en-US" w:eastAsia="zh-CN"/>
        </w:rPr>
        <w:t>5.5.1 一级指标</w:t>
      </w:r>
    </w:p>
    <w:p w14:paraId="7E4704CB">
      <w:pPr>
        <w:pStyle w:val="64"/>
        <w:numPr>
          <w:ilvl w:val="1"/>
          <w:numId w:val="0"/>
        </w:numPr>
        <w:adjustRightInd w:val="0"/>
        <w:snapToGrid w:val="0"/>
        <w:spacing w:before="240" w:after="240" w:line="360" w:lineRule="auto"/>
        <w:ind w:firstLine="420" w:firstLineChars="200"/>
        <w:jc w:val="left"/>
        <w:outlineLvl w:val="9"/>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共6个一级指标，包括预防干预、早期筛查、分级管理、规范治疗、功能康复、长期护理。</w:t>
      </w:r>
    </w:p>
    <w:p w14:paraId="41CB3A75">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5.5.2 二级指标</w:t>
      </w:r>
    </w:p>
    <w:p w14:paraId="0C5D8E42">
      <w:pPr>
        <w:pStyle w:val="59"/>
        <w:spacing w:line="360" w:lineRule="auto"/>
        <w:ind w:firstLine="420"/>
        <w:outlineLvl w:val="9"/>
        <w:rPr>
          <w:rFonts w:hint="eastAsia" w:ascii="Times New Roman"/>
          <w:vertAlign w:val="baseline"/>
          <w:lang w:val="en-US" w:eastAsia="zh-CN"/>
        </w:rPr>
      </w:pPr>
      <w:r>
        <w:rPr>
          <w:rFonts w:hint="eastAsia" w:ascii="Times New Roman"/>
          <w:vertAlign w:val="baseline"/>
          <w:lang w:val="en-US" w:eastAsia="zh-CN"/>
        </w:rPr>
        <w:t>共14个二级指标，包括一级预防、二级预防、三级预防、高危人群筛查、管理原则与随访框架、分期随访管理、非小细胞肺癌分期治疗策略、小细胞肺癌治疗策略、放化疗期间支持性康复、长期康复与慢性期管理、干预评估与调整、治疗期护理、康复期与社区/居家照护、终末期安宁疗护。</w:t>
      </w:r>
    </w:p>
    <w:p w14:paraId="07E0146A">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5.5.3 三级指标</w:t>
      </w:r>
    </w:p>
    <w:p w14:paraId="05A3615D">
      <w:pPr>
        <w:spacing w:line="360" w:lineRule="auto"/>
        <w:ind w:firstLine="420" w:firstLineChars="200"/>
        <w:outlineLvl w:val="9"/>
        <w:rPr>
          <w:rFonts w:hint="eastAsia" w:ascii="Times New Roman"/>
        </w:rPr>
      </w:pPr>
      <w:r>
        <w:rPr>
          <w:rFonts w:hint="eastAsia" w:ascii="Times New Roman"/>
        </w:rPr>
        <w:t>共</w:t>
      </w:r>
      <w:r>
        <w:rPr>
          <w:rFonts w:hint="eastAsia" w:ascii="Times New Roman"/>
          <w:lang w:val="en-US" w:eastAsia="zh-CN"/>
        </w:rPr>
        <w:t>20</w:t>
      </w:r>
      <w:r>
        <w:rPr>
          <w:rFonts w:hint="eastAsia" w:ascii="Times New Roman"/>
        </w:rPr>
        <w:t>个三级指标，包括</w:t>
      </w:r>
      <w:r>
        <w:rPr>
          <w:rFonts w:hint="eastAsia" w:ascii="Times New Roman" w:hAnsi="Times New Roman" w:eastAsia="宋体" w:cs="Times New Roman"/>
          <w:kern w:val="0"/>
          <w:sz w:val="21"/>
          <w:szCs w:val="20"/>
          <w:vertAlign w:val="baseline"/>
          <w:lang w:val="en-US" w:eastAsia="zh-CN" w:bidi="ar-SA"/>
        </w:rPr>
        <w:t>病因预防与控制</w:t>
      </w:r>
      <w:r>
        <w:rPr>
          <w:rFonts w:hint="eastAsia" w:ascii="Times New Roman"/>
          <w:vertAlign w:val="baseline"/>
          <w:lang w:eastAsia="zh-CN"/>
        </w:rPr>
        <w:t>、</w:t>
      </w:r>
      <w:r>
        <w:rPr>
          <w:rFonts w:hint="eastAsia" w:ascii="Times New Roman" w:hAnsi="Times New Roman" w:eastAsia="宋体" w:cs="Times New Roman"/>
          <w:kern w:val="0"/>
          <w:sz w:val="21"/>
          <w:szCs w:val="20"/>
          <w:vertAlign w:val="baseline"/>
          <w:lang w:val="en-US" w:eastAsia="zh-CN" w:bidi="ar-SA"/>
        </w:rPr>
        <w:t>早诊早治</w:t>
      </w:r>
      <w:r>
        <w:rPr>
          <w:rFonts w:hint="eastAsia" w:ascii="Times New Roman"/>
          <w:vertAlign w:val="baseline"/>
          <w:lang w:val="en-US" w:eastAsia="zh-CN"/>
        </w:rPr>
        <w:t>、</w:t>
      </w:r>
      <w:r>
        <w:rPr>
          <w:rFonts w:hint="eastAsia" w:ascii="Times New Roman" w:hAnsi="Times New Roman" w:eastAsia="宋体" w:cs="Times New Roman"/>
          <w:kern w:val="0"/>
          <w:sz w:val="21"/>
          <w:szCs w:val="20"/>
          <w:vertAlign w:val="baseline"/>
          <w:lang w:val="en-US" w:eastAsia="zh-CN" w:bidi="ar-SA"/>
        </w:rPr>
        <w:t>规范治疗与康复</w:t>
      </w:r>
      <w:r>
        <w:rPr>
          <w:rFonts w:hint="eastAsia" w:ascii="Times New Roman"/>
          <w:vertAlign w:val="baseline"/>
          <w:lang w:val="en-US" w:eastAsia="zh-CN"/>
        </w:rPr>
        <w:t>、</w:t>
      </w:r>
      <w:r>
        <w:rPr>
          <w:rFonts w:hint="eastAsia" w:ascii="Times New Roman" w:hAnsi="Times New Roman" w:eastAsia="宋体" w:cs="Times New Roman"/>
          <w:kern w:val="0"/>
          <w:sz w:val="21"/>
          <w:szCs w:val="20"/>
          <w:vertAlign w:val="baseline"/>
          <w:lang w:val="en-US" w:eastAsia="zh-CN" w:bidi="ar-SA"/>
        </w:rPr>
        <w:t>高风险人群界定</w:t>
      </w:r>
      <w:r>
        <w:rPr>
          <w:rFonts w:hint="eastAsia" w:ascii="Times New Roman"/>
          <w:vertAlign w:val="baseline"/>
          <w:lang w:val="en-US" w:eastAsia="zh-CN"/>
        </w:rPr>
        <w:t>、</w:t>
      </w:r>
      <w:r>
        <w:rPr>
          <w:rFonts w:hint="eastAsia" w:ascii="Times New Roman" w:hAnsi="Times New Roman" w:eastAsia="宋体" w:cs="Times New Roman"/>
          <w:kern w:val="0"/>
          <w:sz w:val="21"/>
          <w:szCs w:val="20"/>
          <w:vertAlign w:val="baseline"/>
          <w:lang w:val="en-US" w:eastAsia="zh-CN" w:bidi="ar-SA"/>
        </w:rPr>
        <w:t>筛查技术与方法、筛查实施流程、基本管理原则、根治性治疗患者的随访、局部晚期非小细胞肺癌放化疗后的随访、晚期非小细胞肺癌系统治疗后的随访、早期治疗、</w:t>
      </w:r>
      <w:r>
        <w:rPr>
          <w:rFonts w:hint="default" w:ascii="Times New Roman" w:hAnsi="Times New Roman" w:eastAsia="宋体" w:cs="Times New Roman"/>
          <w:kern w:val="0"/>
          <w:sz w:val="21"/>
          <w:szCs w:val="20"/>
          <w:vertAlign w:val="baseline"/>
          <w:lang w:val="en-US" w:eastAsia="zh-CN" w:bidi="ar-SA"/>
        </w:rPr>
        <w:t>局部晚期治疗</w:t>
      </w:r>
      <w:r>
        <w:rPr>
          <w:rFonts w:hint="eastAsia" w:ascii="Times New Roman" w:hAnsi="Times New Roman" w:eastAsia="宋体" w:cs="Times New Roman"/>
          <w:kern w:val="0"/>
          <w:sz w:val="21"/>
          <w:szCs w:val="20"/>
          <w:vertAlign w:val="baseline"/>
          <w:lang w:val="en-US" w:eastAsia="zh-CN" w:bidi="ar-SA"/>
        </w:rPr>
        <w:t>、晚期治疗、分期治疗、短期支持性康复、长期系统性康复、效果评估与动态调整、治疗支持与并发症管理、长期功能恢复与支持、舒缓疗护与人文关怀</w:t>
      </w:r>
      <w:r>
        <w:rPr>
          <w:rFonts w:hint="eastAsia" w:ascii="Times New Roman"/>
        </w:rPr>
        <w:t>。具体内容见表</w:t>
      </w:r>
      <w:r>
        <w:rPr>
          <w:rFonts w:hint="eastAsia" w:ascii="Times New Roman"/>
          <w:lang w:val="en-US" w:eastAsia="zh-CN"/>
        </w:rPr>
        <w:t>5</w:t>
      </w:r>
      <w:r>
        <w:rPr>
          <w:rFonts w:hint="eastAsia" w:ascii="Times New Roman"/>
        </w:rPr>
        <w:t>。</w:t>
      </w:r>
    </w:p>
    <w:p w14:paraId="0445EA6E">
      <w:pPr>
        <w:pStyle w:val="59"/>
        <w:spacing w:line="360" w:lineRule="auto"/>
        <w:ind w:firstLine="422"/>
        <w:jc w:val="center"/>
        <w:outlineLvl w:val="9"/>
        <w:rPr>
          <w:rFonts w:hint="eastAsia" w:ascii="Times New Roman"/>
        </w:rPr>
      </w:pPr>
      <w:r>
        <w:rPr>
          <w:rFonts w:hint="eastAsia" w:ascii="Times New Roman"/>
          <w:b/>
          <w:bCs/>
        </w:rPr>
        <w:t xml:space="preserve">表 </w:t>
      </w:r>
      <w:r>
        <w:rPr>
          <w:rFonts w:hint="eastAsia" w:ascii="Times New Roman"/>
          <w:b/>
          <w:bCs/>
          <w:lang w:val="en-US" w:eastAsia="zh-CN"/>
        </w:rPr>
        <w:t>5</w:t>
      </w:r>
      <w:r>
        <w:rPr>
          <w:rFonts w:hint="eastAsia" w:ascii="Times New Roman"/>
          <w:b/>
          <w:bCs/>
        </w:rPr>
        <w:t xml:space="preserve">  </w:t>
      </w:r>
      <w:r>
        <w:rPr>
          <w:rFonts w:hint="eastAsia" w:ascii="Times New Roman"/>
          <w:b/>
          <w:bCs/>
          <w:lang w:val="en-US" w:eastAsia="zh-CN"/>
        </w:rPr>
        <w:t>肺癌“防、筛、管、治、康、护”服务技术标准体系</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38"/>
        <w:gridCol w:w="5542"/>
      </w:tblGrid>
      <w:tr w14:paraId="69ED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left w:val="nil"/>
              <w:bottom w:val="single" w:color="auto" w:sz="4" w:space="0"/>
              <w:right w:val="nil"/>
            </w:tcBorders>
            <w:vAlign w:val="top"/>
          </w:tcPr>
          <w:p w14:paraId="06406972">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一级</w:t>
            </w:r>
            <w:r>
              <w:rPr>
                <w:rFonts w:hint="eastAsia" w:ascii="宋体" w:hAnsi="宋体" w:cs="宋体"/>
                <w:b/>
                <w:bCs/>
                <w:i w:val="0"/>
                <w:iCs w:val="0"/>
                <w:color w:val="000000"/>
                <w:kern w:val="0"/>
                <w:sz w:val="21"/>
                <w:szCs w:val="21"/>
                <w:u w:val="none"/>
                <w:lang w:val="en-US" w:eastAsia="zh-CN" w:bidi="ar"/>
              </w:rPr>
              <w:t>技术</w:t>
            </w:r>
            <w:r>
              <w:rPr>
                <w:rFonts w:hint="eastAsia" w:ascii="宋体" w:hAnsi="宋体" w:eastAsia="宋体" w:cs="宋体"/>
                <w:b/>
                <w:bCs/>
                <w:i w:val="0"/>
                <w:iCs w:val="0"/>
                <w:color w:val="000000"/>
                <w:kern w:val="0"/>
                <w:sz w:val="21"/>
                <w:szCs w:val="21"/>
                <w:u w:val="none"/>
                <w:lang w:val="en-US" w:eastAsia="zh-CN" w:bidi="ar"/>
              </w:rPr>
              <w:t>模块</w:t>
            </w:r>
          </w:p>
        </w:tc>
        <w:tc>
          <w:tcPr>
            <w:tcW w:w="2138" w:type="dxa"/>
            <w:tcBorders>
              <w:left w:val="nil"/>
              <w:bottom w:val="single" w:color="auto" w:sz="4" w:space="0"/>
              <w:right w:val="nil"/>
            </w:tcBorders>
            <w:vAlign w:val="top"/>
          </w:tcPr>
          <w:p w14:paraId="7BA104CC">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二级技术节点</w:t>
            </w:r>
          </w:p>
        </w:tc>
        <w:tc>
          <w:tcPr>
            <w:tcW w:w="5542" w:type="dxa"/>
            <w:tcBorders>
              <w:left w:val="nil"/>
              <w:bottom w:val="single" w:color="auto" w:sz="4" w:space="0"/>
              <w:right w:val="nil"/>
            </w:tcBorders>
            <w:vAlign w:val="top"/>
          </w:tcPr>
          <w:p w14:paraId="2E4DE31E">
            <w:pPr>
              <w:keepNext w:val="0"/>
              <w:keepLines w:val="0"/>
              <w:widowControl/>
              <w:suppressLineNumbers w:val="0"/>
              <w:jc w:val="center"/>
              <w:textAlignment w:val="center"/>
              <w:outlineLvl w:val="9"/>
              <w:rPr>
                <w:rFonts w:hint="default" w:ascii="Times New Roman"/>
                <w:vertAlign w:val="baseline"/>
                <w:lang w:val="en-US"/>
              </w:rPr>
            </w:pPr>
            <w:r>
              <w:rPr>
                <w:rFonts w:hint="eastAsia" w:ascii="宋体" w:hAnsi="宋体" w:eastAsia="宋体" w:cs="宋体"/>
                <w:b/>
                <w:bCs/>
                <w:i w:val="0"/>
                <w:iCs w:val="0"/>
                <w:color w:val="000000"/>
                <w:kern w:val="0"/>
                <w:sz w:val="21"/>
                <w:szCs w:val="21"/>
                <w:u w:val="none"/>
                <w:lang w:val="en-US" w:eastAsia="zh-CN" w:bidi="ar"/>
              </w:rPr>
              <w:t>三级技术</w:t>
            </w:r>
            <w:r>
              <w:rPr>
                <w:rFonts w:hint="eastAsia" w:ascii="宋体" w:hAnsi="宋体" w:cs="宋体"/>
                <w:b/>
                <w:bCs/>
                <w:i w:val="0"/>
                <w:iCs w:val="0"/>
                <w:color w:val="000000"/>
                <w:kern w:val="0"/>
                <w:sz w:val="21"/>
                <w:szCs w:val="21"/>
                <w:u w:val="none"/>
                <w:lang w:val="en-US" w:eastAsia="zh-CN" w:bidi="ar"/>
              </w:rPr>
              <w:t>内容</w:t>
            </w:r>
          </w:p>
        </w:tc>
      </w:tr>
      <w:tr w14:paraId="0015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4" w:space="0"/>
              <w:left w:val="nil"/>
              <w:bottom w:val="nil"/>
              <w:right w:val="nil"/>
            </w:tcBorders>
            <w:vAlign w:val="center"/>
          </w:tcPr>
          <w:p w14:paraId="3FEF9054">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预防干预</w:t>
            </w:r>
          </w:p>
        </w:tc>
        <w:tc>
          <w:tcPr>
            <w:tcW w:w="2138" w:type="dxa"/>
            <w:tcBorders>
              <w:top w:val="single" w:color="auto" w:sz="4" w:space="0"/>
              <w:left w:val="nil"/>
              <w:bottom w:val="nil"/>
              <w:right w:val="nil"/>
            </w:tcBorders>
            <w:vAlign w:val="center"/>
          </w:tcPr>
          <w:p w14:paraId="3E053CA9">
            <w:pPr>
              <w:pStyle w:val="59"/>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一级预防</w:t>
            </w:r>
          </w:p>
        </w:tc>
        <w:tc>
          <w:tcPr>
            <w:tcW w:w="5542" w:type="dxa"/>
            <w:tcBorders>
              <w:top w:val="single" w:color="auto" w:sz="4" w:space="0"/>
              <w:left w:val="nil"/>
              <w:bottom w:val="nil"/>
              <w:right w:val="nil"/>
            </w:tcBorders>
          </w:tcPr>
          <w:p w14:paraId="2E78CCC5">
            <w:pPr>
              <w:pStyle w:val="59"/>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病因预防与控制：主要包括控制吸烟</w:t>
            </w:r>
            <w:r>
              <w:rPr>
                <w:rFonts w:hint="eastAsia" w:asci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减少环境污染</w:t>
            </w:r>
            <w:r>
              <w:rPr>
                <w:rFonts w:hint="eastAsia" w:asci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警惕室内油烟</w:t>
            </w:r>
            <w:r>
              <w:rPr>
                <w:rFonts w:hint="eastAsia" w:asci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保持健康饮食与心理</w:t>
            </w:r>
            <w:r>
              <w:rPr>
                <w:rFonts w:hint="eastAsia" w:ascii="Times New Roman" w:cs="Times New Roman"/>
                <w:kern w:val="0"/>
                <w:sz w:val="21"/>
                <w:szCs w:val="20"/>
                <w:vertAlign w:val="baseline"/>
                <w:lang w:val="en-US" w:eastAsia="zh-CN" w:bidi="ar-SA"/>
              </w:rPr>
              <w:t>以及</w:t>
            </w:r>
            <w:r>
              <w:rPr>
                <w:rFonts w:hint="eastAsia" w:ascii="Times New Roman" w:hAnsi="Times New Roman" w:eastAsia="宋体" w:cs="Times New Roman"/>
                <w:kern w:val="0"/>
                <w:sz w:val="21"/>
                <w:szCs w:val="20"/>
                <w:vertAlign w:val="baseline"/>
                <w:lang w:val="en-US" w:eastAsia="zh-CN" w:bidi="ar-SA"/>
              </w:rPr>
              <w:t>做好职业防护。</w:t>
            </w:r>
          </w:p>
        </w:tc>
      </w:tr>
      <w:tr w14:paraId="359C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9B795DC">
            <w:pPr>
              <w:pStyle w:val="59"/>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2D4DFD1F">
            <w:pPr>
              <w:pStyle w:val="59"/>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二级预防</w:t>
            </w:r>
          </w:p>
        </w:tc>
        <w:tc>
          <w:tcPr>
            <w:tcW w:w="5542" w:type="dxa"/>
            <w:tcBorders>
              <w:top w:val="nil"/>
              <w:left w:val="nil"/>
              <w:bottom w:val="nil"/>
              <w:right w:val="nil"/>
            </w:tcBorders>
          </w:tcPr>
          <w:p w14:paraId="61AEFF51">
            <w:pPr>
              <w:pStyle w:val="59"/>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早诊早治：核心是早期发现、诊断与治疗。需提高全民防癌保健意识与对肺癌危害性的认识，以增强及早就诊的意识。</w:t>
            </w:r>
          </w:p>
        </w:tc>
      </w:tr>
      <w:tr w14:paraId="7EF2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0" w:type="dxa"/>
            <w:vMerge w:val="continue"/>
            <w:tcBorders>
              <w:top w:val="nil"/>
              <w:left w:val="nil"/>
              <w:bottom w:val="nil"/>
              <w:right w:val="nil"/>
            </w:tcBorders>
            <w:vAlign w:val="center"/>
          </w:tcPr>
          <w:p w14:paraId="19CAE5C2">
            <w:pPr>
              <w:pStyle w:val="59"/>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6C178B93">
            <w:pPr>
              <w:pStyle w:val="59"/>
              <w:widowControl w:val="0"/>
              <w:spacing w:line="360" w:lineRule="auto"/>
              <w:ind w:left="0" w:leftChars="0" w:firstLine="0" w:firstLineChars="0"/>
              <w:jc w:val="center"/>
              <w:outlineLvl w:val="9"/>
              <w:rPr>
                <w:rFonts w:hint="default" w:ascii="Times New Roman"/>
                <w:vertAlign w:val="baseline"/>
                <w:lang w:val="en-US" w:eastAsia="zh-CN"/>
              </w:rPr>
            </w:pPr>
            <w:r>
              <w:rPr>
                <w:rFonts w:hint="eastAsia" w:ascii="Times New Roman"/>
                <w:vertAlign w:val="baseline"/>
                <w:lang w:val="en-US" w:eastAsia="zh-CN"/>
              </w:rPr>
              <w:t>三级预防</w:t>
            </w:r>
          </w:p>
        </w:tc>
        <w:tc>
          <w:tcPr>
            <w:tcW w:w="5542" w:type="dxa"/>
            <w:tcBorders>
              <w:top w:val="nil"/>
              <w:left w:val="nil"/>
              <w:bottom w:val="nil"/>
              <w:right w:val="nil"/>
            </w:tcBorders>
          </w:tcPr>
          <w:p w14:paraId="0CEEC79E">
            <w:pPr>
              <w:pStyle w:val="59"/>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规范治疗与康复：</w:t>
            </w:r>
            <w:r>
              <w:rPr>
                <w:rFonts w:hint="eastAsia" w:ascii="Times New Roman" w:cs="Times New Roman"/>
                <w:kern w:val="0"/>
                <w:sz w:val="21"/>
                <w:szCs w:val="20"/>
                <w:vertAlign w:val="baseline"/>
                <w:lang w:val="en-US" w:eastAsia="zh-CN" w:bidi="ar-SA"/>
              </w:rPr>
              <w:t>建议</w:t>
            </w:r>
            <w:r>
              <w:rPr>
                <w:rFonts w:hint="eastAsia" w:ascii="Times New Roman" w:hAnsi="Times New Roman" w:eastAsia="宋体" w:cs="Times New Roman"/>
                <w:kern w:val="0"/>
                <w:sz w:val="21"/>
                <w:szCs w:val="20"/>
                <w:vertAlign w:val="baseline"/>
                <w:lang w:val="en-US" w:eastAsia="zh-CN" w:bidi="ar-SA"/>
              </w:rPr>
              <w:t>确诊患者接受综合治疗；早期肺癌优先选择胸腔镜肺段切除术，中晚期采用化疗联合免疫治疗；靶向治疗前需进行基因检测，使用中需监测耐药性。</w:t>
            </w:r>
          </w:p>
        </w:tc>
      </w:tr>
      <w:tr w14:paraId="3EAF5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0D128E70">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早期筛查</w:t>
            </w:r>
          </w:p>
        </w:tc>
        <w:tc>
          <w:tcPr>
            <w:tcW w:w="2138" w:type="dxa"/>
            <w:vMerge w:val="restart"/>
            <w:tcBorders>
              <w:top w:val="nil"/>
              <w:left w:val="nil"/>
              <w:bottom w:val="nil"/>
              <w:right w:val="nil"/>
            </w:tcBorders>
            <w:vAlign w:val="center"/>
          </w:tcPr>
          <w:p w14:paraId="6B816183">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高危人群筛查</w:t>
            </w:r>
          </w:p>
        </w:tc>
        <w:tc>
          <w:tcPr>
            <w:tcW w:w="5542" w:type="dxa"/>
            <w:tcBorders>
              <w:top w:val="nil"/>
              <w:left w:val="nil"/>
              <w:bottom w:val="nil"/>
              <w:right w:val="nil"/>
            </w:tcBorders>
          </w:tcPr>
          <w:p w14:paraId="382E0D2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高风险人群界定：年龄45-74岁，且至少符合吸烟指数≥20包年（含戒烟&lt;15年者）、长期被动吸烟&gt;20年、患有慢阻肺病、有特定职业暴露史≥1年或一级亲属有肺癌史中任一项者。</w:t>
            </w:r>
          </w:p>
        </w:tc>
      </w:tr>
      <w:tr w14:paraId="4F049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ACE3E5B">
            <w:pPr>
              <w:pStyle w:val="59"/>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652E5C83">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p>
        </w:tc>
        <w:tc>
          <w:tcPr>
            <w:tcW w:w="5542" w:type="dxa"/>
            <w:tcBorders>
              <w:top w:val="nil"/>
              <w:left w:val="nil"/>
              <w:bottom w:val="nil"/>
              <w:right w:val="nil"/>
            </w:tcBorders>
          </w:tcPr>
          <w:p w14:paraId="3FDF9F5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筛查技术与方法：推荐采用低剂量螺旋CT，实施前必须进行充分的知情告知。必要时采取</w:t>
            </w:r>
            <w:r>
              <w:rPr>
                <w:rFonts w:hint="default" w:ascii="Times New Roman" w:hAnsi="Times New Roman" w:eastAsia="宋体" w:cs="Times New Roman"/>
                <w:kern w:val="0"/>
                <w:sz w:val="21"/>
                <w:szCs w:val="20"/>
                <w:vertAlign w:val="baseline"/>
                <w:lang w:val="en-US" w:eastAsia="zh-CN" w:bidi="ar-SA"/>
              </w:rPr>
              <w:t>辅助与补充检查技术：包括对可疑中央型病变行支气管镜检查；对高危个体可考虑荧光支气管镜检查；可应用经认证的人工智能辅助诊断；肺癌相关自身抗体检测可作为结节风险分层的参考。</w:t>
            </w:r>
          </w:p>
        </w:tc>
      </w:tr>
      <w:tr w14:paraId="3DF6C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627A28D">
            <w:pPr>
              <w:pStyle w:val="59"/>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417589FF">
            <w:pPr>
              <w:pStyle w:val="59"/>
              <w:widowControl w:val="0"/>
              <w:spacing w:line="360" w:lineRule="auto"/>
              <w:jc w:val="center"/>
              <w:outlineLvl w:val="9"/>
              <w:rPr>
                <w:rFonts w:ascii="Times New Roman"/>
                <w:vertAlign w:val="baseline"/>
              </w:rPr>
            </w:pPr>
          </w:p>
        </w:tc>
        <w:tc>
          <w:tcPr>
            <w:tcW w:w="5542" w:type="dxa"/>
            <w:tcBorders>
              <w:top w:val="nil"/>
              <w:left w:val="nil"/>
              <w:bottom w:val="nil"/>
              <w:right w:val="nil"/>
            </w:tcBorders>
          </w:tcPr>
          <w:p w14:paraId="52C8B6D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eastAsia="宋体"/>
                <w:color w:val="0000FF"/>
                <w:vertAlign w:val="baseline"/>
                <w:lang w:val="en-US" w:eastAsia="zh-CN"/>
              </w:rPr>
            </w:pPr>
            <w:r>
              <w:rPr>
                <w:rFonts w:hint="eastAsia" w:ascii="Times New Roman" w:hAnsi="Times New Roman" w:eastAsia="宋体" w:cs="Times New Roman"/>
                <w:kern w:val="0"/>
                <w:sz w:val="21"/>
                <w:szCs w:val="20"/>
                <w:vertAlign w:val="baseline"/>
                <w:lang w:val="en-US" w:eastAsia="zh-CN" w:bidi="ar-SA"/>
              </w:rPr>
              <w:t>筛查实施流程：按照初筛评估、LDCT检查、结果判读、阳性结节管理及随访间隔流程严格执行。</w:t>
            </w:r>
          </w:p>
        </w:tc>
      </w:tr>
      <w:tr w14:paraId="034A4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77D42A62">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分级管理</w:t>
            </w:r>
          </w:p>
          <w:p w14:paraId="0D40BBA9">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tcBorders>
              <w:top w:val="nil"/>
              <w:left w:val="nil"/>
              <w:bottom w:val="nil"/>
              <w:right w:val="nil"/>
            </w:tcBorders>
            <w:vAlign w:val="center"/>
          </w:tcPr>
          <w:p w14:paraId="72215766">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管理原则与随访框架</w:t>
            </w:r>
          </w:p>
        </w:tc>
        <w:tc>
          <w:tcPr>
            <w:tcW w:w="5542" w:type="dxa"/>
            <w:tcBorders>
              <w:top w:val="nil"/>
              <w:left w:val="nil"/>
              <w:bottom w:val="nil"/>
              <w:right w:val="nil"/>
            </w:tcBorders>
            <w:vAlign w:val="top"/>
          </w:tcPr>
          <w:p w14:paraId="1159D36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基本管理原则：依据确诊分期与治疗方式制定策略；纳入长期规律随访并动态调整；每次随访均需进行症状、体格、影像及实验室检查在内的综合评估；持续提供戒烟、营养、心理及症状管理等支持性干预。</w:t>
            </w:r>
          </w:p>
        </w:tc>
      </w:tr>
      <w:tr w14:paraId="55565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08AA3BF">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5400B8C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p w14:paraId="6DD43E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分期随访管理</w:t>
            </w:r>
          </w:p>
          <w:p w14:paraId="0A7CC06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0E7BD40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根治性治疗患者的随访（适用于I-II期及部分III期术后/放疗后无症状者）：第1-3年每3-6个月随访，包括戒烟评估、病史体检、胸部CT；第4-5年每年随访1次，项目同前；5年后每年随访1次，项目包括戒烟评估、病史体检及低剂量非增强胸部CT。</w:t>
            </w:r>
          </w:p>
        </w:tc>
      </w:tr>
      <w:tr w14:paraId="6D4C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447BADB7">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09EDF3BE">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79B5051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局部晚期非小细胞肺癌放化疗后的随访（适用于不可手术III期完成根治性放化疗后无症状者）：常规每8-12周随访，包括病史体检、胸腹部增强CT，临床试验者遵循方案；出现新发或加重症状时立即安排症状驱动随访与检查。</w:t>
            </w:r>
          </w:p>
        </w:tc>
      </w:tr>
      <w:tr w14:paraId="2F0B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DCF6EDD">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FDA67E7">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77D82B3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晚期非小细胞肺癌系统治疗后的随访（适用于IV期阶段性全身治疗后无症状者）：常规每8-12周随访，包括病史体检、胸腹部增强CT，有脑/骨转移史者需定期复查脑MRI及骨扫描，临床试验者遵循方案；任何新发或加重症状均需立即评估并启动必要的检查。</w:t>
            </w:r>
          </w:p>
        </w:tc>
      </w:tr>
      <w:tr w14:paraId="4611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06B44BBF">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r>
              <w:rPr>
                <w:rFonts w:hint="eastAsia" w:ascii="宋体" w:hAnsi="宋体" w:eastAsia="宋体" w:cs="宋体"/>
                <w:b w:val="0"/>
                <w:i w:val="0"/>
                <w:iCs w:val="0"/>
                <w:color w:val="000000"/>
                <w:kern w:val="0"/>
                <w:sz w:val="21"/>
                <w:szCs w:val="21"/>
                <w:u w:val="none"/>
                <w:lang w:val="en-US" w:eastAsia="zh-CN" w:bidi="ar"/>
              </w:rPr>
              <w:t>规范治疗</w:t>
            </w:r>
          </w:p>
        </w:tc>
        <w:tc>
          <w:tcPr>
            <w:tcW w:w="2138" w:type="dxa"/>
            <w:vMerge w:val="restart"/>
            <w:tcBorders>
              <w:top w:val="nil"/>
              <w:left w:val="nil"/>
              <w:bottom w:val="nil"/>
              <w:right w:val="nil"/>
            </w:tcBorders>
            <w:vAlign w:val="center"/>
          </w:tcPr>
          <w:p w14:paraId="1B33DCF1">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非小细胞肺癌分期治疗策略</w:t>
            </w:r>
          </w:p>
        </w:tc>
        <w:tc>
          <w:tcPr>
            <w:tcW w:w="5542" w:type="dxa"/>
            <w:tcBorders>
              <w:top w:val="nil"/>
              <w:left w:val="nil"/>
              <w:bottom w:val="nil"/>
              <w:right w:val="nil"/>
            </w:tcBorders>
            <w:vAlign w:val="top"/>
          </w:tcPr>
          <w:p w14:paraId="75A8DF3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早期治疗：对于Ⅰ、Ⅱ期患者，外科手术根治性切除（优先考虑解剖性肺叶切除加系统性淋巴结清扫）是首选局部治疗方式，目标为实现R0切除。</w:t>
            </w:r>
          </w:p>
        </w:tc>
      </w:tr>
      <w:tr w14:paraId="51A1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550" w:type="dxa"/>
            <w:vMerge w:val="continue"/>
            <w:tcBorders>
              <w:top w:val="nil"/>
              <w:left w:val="nil"/>
              <w:bottom w:val="nil"/>
              <w:right w:val="nil"/>
            </w:tcBorders>
            <w:vAlign w:val="center"/>
          </w:tcPr>
          <w:p w14:paraId="56260EC2">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771A31FB">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3C7DCD9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局部晚期治疗：核心在于精准评估肿瘤的“可切除性”。对可切除或潜在可切除肿瘤，推荐以手术为主的综合治疗（含新辅助/辅助治疗）；对不可切除肿瘤，根治性同步放化疗是标准治疗模式。</w:t>
            </w:r>
          </w:p>
        </w:tc>
      </w:tr>
      <w:tr w14:paraId="038B9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4CCBE681">
            <w:pPr>
              <w:pStyle w:val="59"/>
              <w:widowControl w:val="0"/>
              <w:spacing w:line="360" w:lineRule="auto"/>
              <w:ind w:firstLine="420" w:firstLineChars="200"/>
              <w:jc w:val="center"/>
              <w:outlineLvl w:val="9"/>
              <w:rPr>
                <w:rFonts w:ascii="Times New Roman"/>
                <w:vertAlign w:val="baseline"/>
              </w:rPr>
            </w:pPr>
          </w:p>
        </w:tc>
        <w:tc>
          <w:tcPr>
            <w:tcW w:w="2138" w:type="dxa"/>
            <w:vMerge w:val="continue"/>
            <w:tcBorders>
              <w:top w:val="nil"/>
              <w:left w:val="nil"/>
              <w:bottom w:val="nil"/>
              <w:right w:val="nil"/>
            </w:tcBorders>
            <w:vAlign w:val="center"/>
          </w:tcPr>
          <w:p w14:paraId="0291D4A1">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3AA0AE6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晚期治疗：以全身性药物治疗为主，目标是控制疾病、缓解症状、延长生存及改善生命质量。治疗前必须完成病理亚型及关键驱动基因、PD-L1检测，并据其结果与PS评分个体化选择靶向治疗、免疫治疗或化学治疗（含铂双药方案为基础）。</w:t>
            </w:r>
          </w:p>
        </w:tc>
      </w:tr>
      <w:tr w14:paraId="62962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BCBCAEF">
            <w:pPr>
              <w:pStyle w:val="59"/>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2EE84F74">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小细胞肺癌治疗策略</w:t>
            </w:r>
          </w:p>
        </w:tc>
        <w:tc>
          <w:tcPr>
            <w:tcW w:w="5542" w:type="dxa"/>
            <w:tcBorders>
              <w:top w:val="nil"/>
              <w:left w:val="nil"/>
              <w:bottom w:val="nil"/>
              <w:right w:val="nil"/>
            </w:tcBorders>
            <w:vAlign w:val="top"/>
          </w:tcPr>
          <w:p w14:paraId="601FC7D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分期治疗：主要依据分期制定。局限期以同步放化疗为主，部分极早期可考虑手术；广泛期则以系统化疗联合免疫治疗为主要模式。</w:t>
            </w:r>
          </w:p>
        </w:tc>
      </w:tr>
      <w:tr w14:paraId="4B14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628C84B3">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功能康复</w:t>
            </w:r>
          </w:p>
        </w:tc>
        <w:tc>
          <w:tcPr>
            <w:tcW w:w="2138" w:type="dxa"/>
            <w:tcBorders>
              <w:top w:val="nil"/>
              <w:left w:val="nil"/>
              <w:bottom w:val="nil"/>
              <w:right w:val="nil"/>
            </w:tcBorders>
            <w:vAlign w:val="center"/>
          </w:tcPr>
          <w:p w14:paraId="2FCBAADB">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cs="Times New Roman"/>
                <w:kern w:val="0"/>
                <w:sz w:val="21"/>
                <w:szCs w:val="20"/>
                <w:vertAlign w:val="baseline"/>
                <w:lang w:val="en-US" w:eastAsia="zh-CN" w:bidi="ar-SA"/>
              </w:rPr>
              <w:t>治疗</w:t>
            </w:r>
            <w:r>
              <w:rPr>
                <w:rFonts w:hint="eastAsia" w:ascii="Times New Roman" w:hAnsi="Times New Roman" w:eastAsia="宋体" w:cs="Times New Roman"/>
                <w:kern w:val="0"/>
                <w:sz w:val="21"/>
                <w:szCs w:val="20"/>
                <w:vertAlign w:val="baseline"/>
                <w:lang w:val="en-US" w:eastAsia="zh-CN" w:bidi="ar-SA"/>
              </w:rPr>
              <w:t>期间支持性康复</w:t>
            </w:r>
          </w:p>
        </w:tc>
        <w:tc>
          <w:tcPr>
            <w:tcW w:w="5542" w:type="dxa"/>
            <w:tcBorders>
              <w:top w:val="nil"/>
              <w:left w:val="nil"/>
              <w:bottom w:val="nil"/>
              <w:right w:val="nil"/>
            </w:tcBorders>
            <w:vAlign w:val="top"/>
          </w:tcPr>
          <w:p w14:paraId="3F2C9C1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短期支持性康复：以减轻副作用、维持功能为核心。指导规律呼吸训练；鼓励进行适度有氧与抗阻运动；提供营养支持与水分补充，并对治疗相关不良反应进行对症管理。</w:t>
            </w:r>
          </w:p>
        </w:tc>
      </w:tr>
      <w:tr w14:paraId="32A91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60DF9C5D">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2F7BD8AC">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长期康复与慢性期管理</w:t>
            </w:r>
          </w:p>
        </w:tc>
        <w:tc>
          <w:tcPr>
            <w:tcW w:w="5542" w:type="dxa"/>
            <w:tcBorders>
              <w:top w:val="nil"/>
              <w:left w:val="nil"/>
              <w:bottom w:val="nil"/>
              <w:right w:val="nil"/>
            </w:tcBorders>
            <w:vAlign w:val="top"/>
          </w:tcPr>
          <w:p w14:paraId="4F0FC46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长期系统性康复：聚焦于功能恢复与长期健康。实施个体化肺功能康复与运动训练</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优化营养与生活方式；严格遵医嘱定期复查</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酌情应用中医康复技术</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提供社会心理支持</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整合远程与社区康复资源。</w:t>
            </w:r>
          </w:p>
        </w:tc>
      </w:tr>
      <w:tr w14:paraId="2304C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0BAC8E41">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2DB2AD4E">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干预评估与调整</w:t>
            </w:r>
          </w:p>
        </w:tc>
        <w:tc>
          <w:tcPr>
            <w:tcW w:w="5542" w:type="dxa"/>
            <w:tcBorders>
              <w:top w:val="nil"/>
              <w:left w:val="nil"/>
              <w:bottom w:val="nil"/>
              <w:right w:val="nil"/>
            </w:tcBorders>
            <w:vAlign w:val="top"/>
          </w:tcPr>
          <w:p w14:paraId="36C059E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效果评估与动态调整：定期评估所有康复措施的效果与安全性，并根据患者情况动态调整计划。</w:t>
            </w:r>
          </w:p>
        </w:tc>
      </w:tr>
      <w:tr w14:paraId="4D309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314F6F39">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长期护理</w:t>
            </w:r>
          </w:p>
        </w:tc>
        <w:tc>
          <w:tcPr>
            <w:tcW w:w="2138" w:type="dxa"/>
            <w:tcBorders>
              <w:top w:val="nil"/>
              <w:left w:val="nil"/>
              <w:bottom w:val="nil"/>
              <w:right w:val="nil"/>
            </w:tcBorders>
            <w:vAlign w:val="center"/>
          </w:tcPr>
          <w:p w14:paraId="513A27C7">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治疗期护理</w:t>
            </w:r>
          </w:p>
        </w:tc>
        <w:tc>
          <w:tcPr>
            <w:tcW w:w="5542" w:type="dxa"/>
            <w:tcBorders>
              <w:top w:val="nil"/>
              <w:left w:val="nil"/>
              <w:bottom w:val="nil"/>
              <w:right w:val="nil"/>
            </w:tcBorders>
            <w:vAlign w:val="top"/>
          </w:tcPr>
          <w:p w14:paraId="3D2F369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color w:val="0000FF"/>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治疗支持与并发症管理：聚焦于支持患者完成抗肿瘤治疗。包括维护呼吸功能与气道管理</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实施疼痛综合管理</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监测与干预治疗相关不良事件</w:t>
            </w:r>
            <w:r>
              <w:rPr>
                <w:rFonts w:hint="eastAsia" w:ascii="Times New Roman" w:hAnsi="Times New Roman" w:cs="Times New Roman"/>
                <w:kern w:val="0"/>
                <w:sz w:val="21"/>
                <w:szCs w:val="20"/>
                <w:vertAlign w:val="baseline"/>
                <w:lang w:val="en-US" w:eastAsia="zh-CN" w:bidi="ar-SA"/>
              </w:rPr>
              <w:t>以及</w:t>
            </w:r>
            <w:r>
              <w:rPr>
                <w:rFonts w:hint="eastAsia" w:ascii="Times New Roman" w:hAnsi="Times New Roman" w:eastAsia="宋体" w:cs="Times New Roman"/>
                <w:kern w:val="0"/>
                <w:sz w:val="21"/>
                <w:szCs w:val="20"/>
                <w:vertAlign w:val="baseline"/>
                <w:lang w:val="en-US" w:eastAsia="zh-CN" w:bidi="ar-SA"/>
              </w:rPr>
              <w:t>提供营养与代谢支持。</w:t>
            </w:r>
          </w:p>
        </w:tc>
      </w:tr>
      <w:tr w14:paraId="3D63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357DBD56">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4E7F7CE5">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康复期与社区/居家照护</w:t>
            </w:r>
          </w:p>
        </w:tc>
        <w:tc>
          <w:tcPr>
            <w:tcW w:w="5542" w:type="dxa"/>
            <w:tcBorders>
              <w:top w:val="nil"/>
              <w:left w:val="nil"/>
              <w:bottom w:val="nil"/>
              <w:right w:val="nil"/>
            </w:tcBorders>
            <w:vAlign w:val="top"/>
          </w:tcPr>
          <w:p w14:paraId="1E91FF2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长期功能恢复与支持：重点在于促进功能恢复与提高自我管理能力。包括督导个体化康复训练</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构建心理社会支持体系</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落实长期随访与复发监测</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加强用药安全教育。</w:t>
            </w:r>
          </w:p>
        </w:tc>
      </w:tr>
      <w:tr w14:paraId="275A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right w:val="nil"/>
            </w:tcBorders>
            <w:vAlign w:val="center"/>
          </w:tcPr>
          <w:p w14:paraId="1B82D958">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right w:val="nil"/>
            </w:tcBorders>
            <w:vAlign w:val="center"/>
          </w:tcPr>
          <w:p w14:paraId="76480106">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终末期安宁疗护</w:t>
            </w:r>
          </w:p>
        </w:tc>
        <w:tc>
          <w:tcPr>
            <w:tcW w:w="5542" w:type="dxa"/>
            <w:tcBorders>
              <w:top w:val="nil"/>
              <w:left w:val="nil"/>
              <w:right w:val="nil"/>
            </w:tcBorders>
            <w:vAlign w:val="top"/>
          </w:tcPr>
          <w:p w14:paraId="0EF6CA1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舒缓疗护与人文关怀：护理目标转向症状控制与舒适照护。包括优化控制难治性症状</w:t>
            </w:r>
            <w:r>
              <w:rPr>
                <w:rFonts w:hint="eastAsia" w:ascii="Times New Roman" w:hAnsi="Times New Roman" w:cs="Times New Roman"/>
                <w:kern w:val="0"/>
                <w:sz w:val="21"/>
                <w:szCs w:val="20"/>
                <w:vertAlign w:val="baseline"/>
                <w:lang w:val="en-US" w:eastAsia="zh-CN" w:bidi="ar-SA"/>
              </w:rPr>
              <w:t>、</w:t>
            </w:r>
            <w:r>
              <w:rPr>
                <w:rFonts w:hint="eastAsia" w:ascii="Times New Roman" w:hAnsi="Times New Roman" w:eastAsia="宋体" w:cs="Times New Roman"/>
                <w:kern w:val="0"/>
                <w:sz w:val="21"/>
                <w:szCs w:val="20"/>
                <w:vertAlign w:val="baseline"/>
                <w:lang w:val="en-US" w:eastAsia="zh-CN" w:bidi="ar-SA"/>
              </w:rPr>
              <w:t>实施基础护理舒适</w:t>
            </w:r>
            <w:r>
              <w:rPr>
                <w:rFonts w:hint="eastAsia" w:ascii="Times New Roman" w:hAnsi="Times New Roman" w:cs="Times New Roman"/>
                <w:kern w:val="0"/>
                <w:sz w:val="21"/>
                <w:szCs w:val="20"/>
                <w:vertAlign w:val="baseline"/>
                <w:lang w:val="en-US" w:eastAsia="zh-CN" w:bidi="ar-SA"/>
              </w:rPr>
              <w:t>以及</w:t>
            </w:r>
            <w:r>
              <w:rPr>
                <w:rFonts w:hint="eastAsia" w:ascii="Times New Roman" w:hAnsi="Times New Roman" w:eastAsia="宋体" w:cs="Times New Roman"/>
                <w:kern w:val="0"/>
                <w:sz w:val="21"/>
                <w:szCs w:val="20"/>
                <w:vertAlign w:val="baseline"/>
                <w:lang w:val="en-US" w:eastAsia="zh-CN" w:bidi="ar-SA"/>
              </w:rPr>
              <w:t>提供以患者及家庭为中心的关怀与沟通支持。</w:t>
            </w:r>
          </w:p>
        </w:tc>
      </w:tr>
    </w:tbl>
    <w:p w14:paraId="1BD9CA1A">
      <w:pPr>
        <w:pStyle w:val="64"/>
        <w:numPr>
          <w:ilvl w:val="1"/>
          <w:numId w:val="0"/>
        </w:numPr>
        <w:adjustRightInd w:val="0"/>
        <w:snapToGrid w:val="0"/>
        <w:spacing w:before="240" w:after="240" w:line="360" w:lineRule="auto"/>
        <w:jc w:val="left"/>
        <w:outlineLvl w:val="9"/>
        <w:rPr>
          <w:rFonts w:hint="default" w:hAnsi="黑体" w:cs="黑体"/>
          <w:b/>
          <w:bCs/>
          <w:szCs w:val="21"/>
          <w:lang w:val="en-US" w:eastAsia="zh-CN"/>
        </w:rPr>
      </w:pPr>
      <w:r>
        <w:rPr>
          <w:rFonts w:hint="eastAsia" w:hAnsi="黑体" w:cs="黑体"/>
          <w:b/>
          <w:bCs/>
          <w:szCs w:val="21"/>
          <w:lang w:val="en-US" w:eastAsia="zh-CN"/>
        </w:rPr>
        <w:t>5.6 慢性阻塞性肺疾病</w:t>
      </w:r>
    </w:p>
    <w:p w14:paraId="1A21CB8B">
      <w:pPr>
        <w:pStyle w:val="64"/>
        <w:numPr>
          <w:ilvl w:val="1"/>
          <w:numId w:val="0"/>
        </w:numPr>
        <w:adjustRightInd w:val="0"/>
        <w:snapToGrid w:val="0"/>
        <w:spacing w:before="240" w:after="240" w:line="360" w:lineRule="auto"/>
        <w:jc w:val="left"/>
        <w:outlineLvl w:val="9"/>
        <w:rPr>
          <w:rFonts w:hint="default" w:hAnsi="黑体" w:cs="黑体"/>
          <w:b/>
          <w:bCs/>
          <w:szCs w:val="21"/>
          <w:lang w:val="en-US" w:eastAsia="zh-CN"/>
        </w:rPr>
      </w:pPr>
      <w:r>
        <w:rPr>
          <w:rFonts w:hint="eastAsia" w:hAnsi="黑体" w:cs="黑体"/>
          <w:b/>
          <w:bCs/>
          <w:szCs w:val="21"/>
          <w:lang w:val="en-US" w:eastAsia="zh-CN"/>
        </w:rPr>
        <w:t>5.6.1 一级指标</w:t>
      </w:r>
    </w:p>
    <w:p w14:paraId="78177A2A">
      <w:pPr>
        <w:pStyle w:val="64"/>
        <w:numPr>
          <w:ilvl w:val="1"/>
          <w:numId w:val="0"/>
        </w:numPr>
        <w:adjustRightInd w:val="0"/>
        <w:snapToGrid w:val="0"/>
        <w:spacing w:before="240" w:after="240" w:line="360" w:lineRule="auto"/>
        <w:ind w:firstLine="420" w:firstLineChars="200"/>
        <w:jc w:val="left"/>
        <w:outlineLvl w:val="9"/>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共6个一级指标，包括预防干预、早期筛查、分级管理、规范治疗、功能康复、长期护理。</w:t>
      </w:r>
    </w:p>
    <w:p w14:paraId="6251752C">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5.6.2 二级指标</w:t>
      </w:r>
    </w:p>
    <w:p w14:paraId="60E19CF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imes New Roman"/>
          <w:vertAlign w:val="baseline"/>
          <w:lang w:val="en-US" w:eastAsia="zh-CN"/>
        </w:rPr>
      </w:pPr>
      <w:r>
        <w:rPr>
          <w:rFonts w:hint="eastAsia" w:ascii="Times New Roman"/>
          <w:vertAlign w:val="baseline"/>
          <w:lang w:val="en-US" w:eastAsia="zh-CN"/>
        </w:rPr>
        <w:t>共17个二级指标，包括一级预防、二级预防、三级预防、</w:t>
      </w:r>
      <w:r>
        <w:rPr>
          <w:rFonts w:hint="eastAsia" w:ascii="Times New Roman" w:hAnsi="Times New Roman" w:eastAsia="宋体" w:cs="Times New Roman"/>
          <w:kern w:val="0"/>
          <w:sz w:val="21"/>
          <w:szCs w:val="20"/>
          <w:vertAlign w:val="baseline"/>
          <w:lang w:val="en-US" w:eastAsia="zh-CN" w:bidi="ar-SA"/>
        </w:rPr>
        <w:t>健康教育、</w:t>
      </w:r>
      <w:r>
        <w:rPr>
          <w:rFonts w:hint="eastAsia" w:ascii="Times New Roman"/>
          <w:vertAlign w:val="baseline"/>
          <w:lang w:val="en-US" w:eastAsia="zh-CN"/>
        </w:rPr>
        <w:t>高危人群筛查、筛查后处理、</w:t>
      </w:r>
      <w:r>
        <w:rPr>
          <w:rFonts w:hint="eastAsia" w:ascii="Times New Roman" w:hAnsi="Times New Roman" w:eastAsia="宋体" w:cs="Times New Roman"/>
          <w:kern w:val="0"/>
          <w:sz w:val="21"/>
          <w:szCs w:val="20"/>
          <w:vertAlign w:val="baseline"/>
          <w:lang w:val="en-US" w:eastAsia="zh-CN" w:bidi="ar-SA"/>
        </w:rPr>
        <w:t>诊断与评估、分级诊疗与转诊、</w:t>
      </w:r>
      <w:r>
        <w:rPr>
          <w:rFonts w:hint="default" w:ascii="Times New Roman" w:hAnsi="Times New Roman" w:eastAsia="宋体" w:cs="Times New Roman"/>
          <w:kern w:val="0"/>
          <w:sz w:val="21"/>
          <w:szCs w:val="20"/>
          <w:vertAlign w:val="baseline"/>
          <w:lang w:val="en-US" w:eastAsia="zh-CN" w:bidi="ar-SA"/>
        </w:rPr>
        <w:t>长期随访与综合评估</w:t>
      </w:r>
      <w:r>
        <w:rPr>
          <w:rFonts w:hint="eastAsia" w:ascii="Times New Roman" w:hAnsi="Times New Roman" w:eastAsia="宋体" w:cs="Times New Roman"/>
          <w:kern w:val="0"/>
          <w:sz w:val="21"/>
          <w:szCs w:val="20"/>
          <w:vertAlign w:val="baseline"/>
          <w:lang w:val="en-US" w:eastAsia="zh-CN" w:bidi="ar-SA"/>
        </w:rPr>
        <w:t>、药物治疗、吸入装置选择与使用指导、非药物治疗、</w:t>
      </w:r>
      <w:r>
        <w:rPr>
          <w:rFonts w:hint="eastAsia" w:ascii="宋体" w:hAnsi="宋体" w:eastAsia="宋体" w:cs="宋体"/>
          <w:b w:val="0"/>
          <w:i w:val="0"/>
          <w:iCs w:val="0"/>
          <w:color w:val="000000"/>
          <w:kern w:val="0"/>
          <w:sz w:val="21"/>
          <w:szCs w:val="21"/>
          <w:u w:val="none"/>
          <w:lang w:val="en-US" w:eastAsia="zh-CN" w:bidi="ar"/>
        </w:rPr>
        <w:t>中医肺康复技术、</w:t>
      </w:r>
      <w:r>
        <w:rPr>
          <w:rFonts w:hint="eastAsia" w:hAnsi="宋体" w:cs="宋体"/>
          <w:b w:val="0"/>
          <w:i w:val="0"/>
          <w:iCs w:val="0"/>
          <w:color w:val="000000"/>
          <w:kern w:val="0"/>
          <w:sz w:val="21"/>
          <w:szCs w:val="21"/>
          <w:u w:val="none"/>
          <w:lang w:val="en-US" w:eastAsia="zh-CN" w:bidi="ar"/>
        </w:rPr>
        <w:t>技术应用、</w:t>
      </w:r>
      <w:r>
        <w:rPr>
          <w:rFonts w:hint="eastAsia" w:ascii="宋体" w:hAnsi="宋体" w:eastAsia="宋体" w:cs="宋体"/>
          <w:b w:val="0"/>
          <w:i w:val="0"/>
          <w:iCs w:val="0"/>
          <w:color w:val="000000"/>
          <w:kern w:val="0"/>
          <w:sz w:val="21"/>
          <w:szCs w:val="21"/>
          <w:u w:val="none"/>
          <w:lang w:val="en-US" w:eastAsia="zh-CN" w:bidi="ar"/>
        </w:rPr>
        <w:t>稳定期护理、急性加重期护理、心理与社会支持</w:t>
      </w:r>
      <w:r>
        <w:rPr>
          <w:rFonts w:hint="eastAsia" w:ascii="Times New Roman"/>
          <w:vertAlign w:val="baseline"/>
          <w:lang w:val="en-US" w:eastAsia="zh-CN"/>
        </w:rPr>
        <w:t>。</w:t>
      </w:r>
    </w:p>
    <w:p w14:paraId="3206DED6">
      <w:pPr>
        <w:pStyle w:val="64"/>
        <w:numPr>
          <w:ilvl w:val="1"/>
          <w:numId w:val="0"/>
        </w:numPr>
        <w:adjustRightInd w:val="0"/>
        <w:snapToGrid w:val="0"/>
        <w:spacing w:before="240" w:after="240" w:line="360" w:lineRule="auto"/>
        <w:jc w:val="left"/>
        <w:outlineLvl w:val="9"/>
        <w:rPr>
          <w:rFonts w:hint="eastAsia" w:hAnsi="黑体" w:cs="黑体"/>
          <w:b/>
          <w:bCs/>
          <w:szCs w:val="21"/>
          <w:lang w:val="en-US" w:eastAsia="zh-CN"/>
        </w:rPr>
      </w:pPr>
      <w:r>
        <w:rPr>
          <w:rFonts w:hint="eastAsia" w:hAnsi="黑体" w:cs="黑体"/>
          <w:b/>
          <w:bCs/>
          <w:szCs w:val="21"/>
          <w:lang w:val="en-US" w:eastAsia="zh-CN"/>
        </w:rPr>
        <w:t>5.6.3 三级指标</w:t>
      </w:r>
    </w:p>
    <w:p w14:paraId="3F55204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ascii="Times New Roman"/>
        </w:rPr>
      </w:pPr>
      <w:r>
        <w:rPr>
          <w:rFonts w:hint="eastAsia" w:ascii="Times New Roman"/>
        </w:rPr>
        <w:t>共</w:t>
      </w:r>
      <w:r>
        <w:rPr>
          <w:rFonts w:hint="eastAsia" w:ascii="Times New Roman"/>
          <w:lang w:val="en-US" w:eastAsia="zh-CN"/>
        </w:rPr>
        <w:t>27</w:t>
      </w:r>
      <w:r>
        <w:rPr>
          <w:rFonts w:hint="eastAsia" w:ascii="Times New Roman"/>
        </w:rPr>
        <w:t>个三级指标，包括</w:t>
      </w:r>
      <w:r>
        <w:rPr>
          <w:rFonts w:hint="eastAsia" w:ascii="Times New Roman" w:hAnsi="Times New Roman" w:eastAsia="宋体" w:cs="Times New Roman"/>
          <w:kern w:val="0"/>
          <w:sz w:val="21"/>
          <w:szCs w:val="20"/>
          <w:vertAlign w:val="baseline"/>
          <w:lang w:val="en-US" w:eastAsia="zh-CN" w:bidi="ar-SA"/>
        </w:rPr>
        <w:t>病因预防、早发现早诊早治、疾病管理与康复、患者知识教育与技能培训、高危人群界定、问卷筛查、影像学提示者的筛查、阳性结果管理、综合诊断依据、基层诊断路径、患者管理流程、转诊指征、定期评估执行、药物应用、个体化选择与培训、综合非药物干预、主</w:t>
      </w:r>
      <w:r>
        <w:rPr>
          <w:rFonts w:hint="default" w:ascii="Times New Roman" w:hAnsi="Times New Roman" w:eastAsia="宋体" w:cs="Times New Roman"/>
          <w:kern w:val="0"/>
          <w:sz w:val="21"/>
          <w:szCs w:val="20"/>
          <w:vertAlign w:val="baseline"/>
          <w:lang w:val="en-US" w:eastAsia="zh-CN" w:bidi="ar-SA"/>
        </w:rPr>
        <w:t>要技术措施</w:t>
      </w:r>
      <w:r>
        <w:rPr>
          <w:rFonts w:hint="eastAsia" w:ascii="Times New Roman" w:hAnsi="Times New Roman" w:eastAsia="宋体" w:cs="Times New Roman"/>
          <w:kern w:val="0"/>
          <w:sz w:val="21"/>
          <w:szCs w:val="20"/>
          <w:vertAlign w:val="baseline"/>
          <w:lang w:val="en-US" w:eastAsia="zh-CN" w:bidi="ar-SA"/>
        </w:rPr>
        <w:t>、</w:t>
      </w:r>
      <w:r>
        <w:rPr>
          <w:rFonts w:hint="eastAsia" w:ascii="Times New Roman" w:hAnsi="Times New Roman" w:cs="Times New Roman"/>
          <w:kern w:val="0"/>
          <w:sz w:val="21"/>
          <w:szCs w:val="20"/>
          <w:vertAlign w:val="baseline"/>
          <w:lang w:val="en-US" w:eastAsia="zh-CN" w:bidi="ar-SA"/>
        </w:rPr>
        <w:t>临床技术应用、</w:t>
      </w:r>
      <w:r>
        <w:rPr>
          <w:rFonts w:hint="eastAsia" w:ascii="Times New Roman" w:hAnsi="Times New Roman" w:eastAsia="宋体" w:cs="Times New Roman"/>
          <w:kern w:val="0"/>
          <w:sz w:val="21"/>
          <w:szCs w:val="20"/>
          <w:vertAlign w:val="baseline"/>
          <w:lang w:val="en-US" w:eastAsia="zh-CN" w:bidi="ar-SA"/>
        </w:rPr>
        <w:t>行为干预与环境控制、呼吸模式与功能训练、治疗依从性管理、长期氧疗管理、营养支持与监测、自我监测与定期随访、早期识别与紧急应对、急性期支持性护理、全面支持体系构建</w:t>
      </w:r>
      <w:r>
        <w:rPr>
          <w:rFonts w:hint="eastAsia" w:ascii="Times New Roman"/>
        </w:rPr>
        <w:t>。具体内容见表</w:t>
      </w:r>
      <w:r>
        <w:rPr>
          <w:rFonts w:hint="eastAsia" w:ascii="Times New Roman"/>
          <w:lang w:val="en-US" w:eastAsia="zh-CN"/>
        </w:rPr>
        <w:t>6</w:t>
      </w:r>
      <w:r>
        <w:rPr>
          <w:rFonts w:hint="eastAsia" w:ascii="Times New Roman"/>
        </w:rPr>
        <w:t>。</w:t>
      </w:r>
    </w:p>
    <w:p w14:paraId="1FD203DA">
      <w:pPr>
        <w:pStyle w:val="59"/>
        <w:spacing w:line="360" w:lineRule="auto"/>
        <w:ind w:firstLine="422"/>
        <w:jc w:val="center"/>
        <w:outlineLvl w:val="9"/>
        <w:rPr>
          <w:rFonts w:hint="eastAsia" w:ascii="Times New Roman"/>
        </w:rPr>
      </w:pPr>
      <w:r>
        <w:rPr>
          <w:rFonts w:hint="eastAsia" w:ascii="Times New Roman"/>
          <w:b/>
          <w:bCs/>
        </w:rPr>
        <w:t xml:space="preserve">表 </w:t>
      </w:r>
      <w:r>
        <w:rPr>
          <w:rFonts w:hint="eastAsia" w:ascii="Times New Roman"/>
          <w:b/>
          <w:bCs/>
          <w:lang w:val="en-US" w:eastAsia="zh-CN"/>
        </w:rPr>
        <w:t>6</w:t>
      </w:r>
      <w:r>
        <w:rPr>
          <w:rFonts w:hint="eastAsia" w:ascii="Times New Roman"/>
          <w:b/>
          <w:bCs/>
        </w:rPr>
        <w:t xml:space="preserve">  </w:t>
      </w:r>
      <w:r>
        <w:rPr>
          <w:rFonts w:hint="eastAsia" w:ascii="Times New Roman"/>
          <w:b/>
          <w:bCs/>
          <w:lang w:val="en-US" w:eastAsia="zh-CN"/>
        </w:rPr>
        <w:t>慢性阻塞性肺疾病“防、筛、管、治、康、护”服务技术标准体系</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2138"/>
        <w:gridCol w:w="5542"/>
      </w:tblGrid>
      <w:tr w14:paraId="4F928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tcBorders>
              <w:left w:val="nil"/>
              <w:bottom w:val="single" w:color="auto" w:sz="4" w:space="0"/>
              <w:right w:val="nil"/>
            </w:tcBorders>
            <w:vAlign w:val="top"/>
          </w:tcPr>
          <w:p w14:paraId="1DD556E5">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一级</w:t>
            </w:r>
            <w:r>
              <w:rPr>
                <w:rFonts w:hint="eastAsia" w:ascii="宋体" w:hAnsi="宋体" w:cs="宋体"/>
                <w:b/>
                <w:bCs/>
                <w:i w:val="0"/>
                <w:iCs w:val="0"/>
                <w:color w:val="000000"/>
                <w:kern w:val="0"/>
                <w:sz w:val="21"/>
                <w:szCs w:val="21"/>
                <w:u w:val="none"/>
                <w:lang w:val="en-US" w:eastAsia="zh-CN" w:bidi="ar"/>
              </w:rPr>
              <w:t>技术</w:t>
            </w:r>
            <w:r>
              <w:rPr>
                <w:rFonts w:hint="eastAsia" w:ascii="宋体" w:hAnsi="宋体" w:eastAsia="宋体" w:cs="宋体"/>
                <w:b/>
                <w:bCs/>
                <w:i w:val="0"/>
                <w:iCs w:val="0"/>
                <w:color w:val="000000"/>
                <w:kern w:val="0"/>
                <w:sz w:val="21"/>
                <w:szCs w:val="21"/>
                <w:u w:val="none"/>
                <w:lang w:val="en-US" w:eastAsia="zh-CN" w:bidi="ar"/>
              </w:rPr>
              <w:t>模块</w:t>
            </w:r>
          </w:p>
        </w:tc>
        <w:tc>
          <w:tcPr>
            <w:tcW w:w="2138" w:type="dxa"/>
            <w:tcBorders>
              <w:left w:val="nil"/>
              <w:bottom w:val="single" w:color="auto" w:sz="4" w:space="0"/>
              <w:right w:val="nil"/>
            </w:tcBorders>
            <w:vAlign w:val="top"/>
          </w:tcPr>
          <w:p w14:paraId="20BE40C8">
            <w:pPr>
              <w:keepNext w:val="0"/>
              <w:keepLines w:val="0"/>
              <w:widowControl/>
              <w:suppressLineNumbers w:val="0"/>
              <w:jc w:val="center"/>
              <w:textAlignment w:val="center"/>
              <w:outlineLvl w:val="9"/>
              <w:rPr>
                <w:rFonts w:ascii="Times New Roman"/>
                <w:vertAlign w:val="baseline"/>
              </w:rPr>
            </w:pPr>
            <w:r>
              <w:rPr>
                <w:rFonts w:hint="eastAsia" w:ascii="宋体" w:hAnsi="宋体" w:eastAsia="宋体" w:cs="宋体"/>
                <w:b/>
                <w:bCs/>
                <w:i w:val="0"/>
                <w:iCs w:val="0"/>
                <w:color w:val="000000"/>
                <w:kern w:val="0"/>
                <w:sz w:val="21"/>
                <w:szCs w:val="21"/>
                <w:u w:val="none"/>
                <w:lang w:val="en-US" w:eastAsia="zh-CN" w:bidi="ar"/>
              </w:rPr>
              <w:t>二级技术节点</w:t>
            </w:r>
          </w:p>
        </w:tc>
        <w:tc>
          <w:tcPr>
            <w:tcW w:w="5542" w:type="dxa"/>
            <w:tcBorders>
              <w:left w:val="nil"/>
              <w:bottom w:val="single" w:color="auto" w:sz="4" w:space="0"/>
              <w:right w:val="nil"/>
            </w:tcBorders>
            <w:vAlign w:val="top"/>
          </w:tcPr>
          <w:p w14:paraId="26F077A5">
            <w:pPr>
              <w:keepNext w:val="0"/>
              <w:keepLines w:val="0"/>
              <w:widowControl/>
              <w:suppressLineNumbers w:val="0"/>
              <w:jc w:val="center"/>
              <w:textAlignment w:val="center"/>
              <w:outlineLvl w:val="9"/>
              <w:rPr>
                <w:rFonts w:hint="default" w:ascii="Times New Roman"/>
                <w:vertAlign w:val="baseline"/>
                <w:lang w:val="en-US"/>
              </w:rPr>
            </w:pPr>
            <w:r>
              <w:rPr>
                <w:rFonts w:hint="eastAsia" w:ascii="宋体" w:hAnsi="宋体" w:eastAsia="宋体" w:cs="宋体"/>
                <w:b/>
                <w:bCs/>
                <w:i w:val="0"/>
                <w:iCs w:val="0"/>
                <w:color w:val="000000"/>
                <w:kern w:val="0"/>
                <w:sz w:val="21"/>
                <w:szCs w:val="21"/>
                <w:u w:val="none"/>
                <w:lang w:val="en-US" w:eastAsia="zh-CN" w:bidi="ar"/>
              </w:rPr>
              <w:t>三级技术</w:t>
            </w:r>
            <w:r>
              <w:rPr>
                <w:rFonts w:hint="eastAsia" w:ascii="宋体" w:hAnsi="宋体" w:cs="宋体"/>
                <w:b/>
                <w:bCs/>
                <w:i w:val="0"/>
                <w:iCs w:val="0"/>
                <w:color w:val="000000"/>
                <w:kern w:val="0"/>
                <w:sz w:val="21"/>
                <w:szCs w:val="21"/>
                <w:u w:val="none"/>
                <w:lang w:val="en-US" w:eastAsia="zh-CN" w:bidi="ar"/>
              </w:rPr>
              <w:t>内容</w:t>
            </w:r>
          </w:p>
        </w:tc>
      </w:tr>
      <w:tr w14:paraId="2B6D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single" w:color="auto" w:sz="4" w:space="0"/>
              <w:left w:val="nil"/>
              <w:bottom w:val="nil"/>
              <w:right w:val="nil"/>
            </w:tcBorders>
            <w:vAlign w:val="center"/>
          </w:tcPr>
          <w:p w14:paraId="1286B093">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预防干预</w:t>
            </w:r>
          </w:p>
        </w:tc>
        <w:tc>
          <w:tcPr>
            <w:tcW w:w="2138" w:type="dxa"/>
            <w:tcBorders>
              <w:top w:val="single" w:color="auto" w:sz="4" w:space="0"/>
              <w:left w:val="nil"/>
              <w:bottom w:val="nil"/>
              <w:right w:val="nil"/>
            </w:tcBorders>
            <w:vAlign w:val="center"/>
          </w:tcPr>
          <w:p w14:paraId="7965B6A4">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一级预防</w:t>
            </w:r>
          </w:p>
        </w:tc>
        <w:tc>
          <w:tcPr>
            <w:tcW w:w="5542" w:type="dxa"/>
            <w:tcBorders>
              <w:top w:val="single" w:color="auto" w:sz="4" w:space="0"/>
              <w:left w:val="nil"/>
              <w:bottom w:val="nil"/>
              <w:right w:val="nil"/>
            </w:tcBorders>
          </w:tcPr>
          <w:p w14:paraId="6BE0874C">
            <w:pPr>
              <w:pStyle w:val="59"/>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病因预防：主要包括戒烟与避免二手烟、改善空气质量、增强免疫力和进行预防接种。</w:t>
            </w:r>
          </w:p>
        </w:tc>
      </w:tr>
      <w:tr w14:paraId="0BB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4F5BBC00">
            <w:pPr>
              <w:pStyle w:val="59"/>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4E59BAA5">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二级预防</w:t>
            </w:r>
          </w:p>
        </w:tc>
        <w:tc>
          <w:tcPr>
            <w:tcW w:w="5542" w:type="dxa"/>
            <w:tcBorders>
              <w:top w:val="nil"/>
              <w:left w:val="nil"/>
              <w:bottom w:val="nil"/>
              <w:right w:val="nil"/>
            </w:tcBorders>
          </w:tcPr>
          <w:p w14:paraId="53BF1EF8">
            <w:pPr>
              <w:pStyle w:val="59"/>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早发现早诊早治：核心是早发现、早诊断、早治疗。</w:t>
            </w:r>
          </w:p>
        </w:tc>
      </w:tr>
      <w:tr w14:paraId="4A357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0" w:type="dxa"/>
            <w:vMerge w:val="continue"/>
            <w:tcBorders>
              <w:top w:val="nil"/>
              <w:left w:val="nil"/>
              <w:bottom w:val="nil"/>
              <w:right w:val="nil"/>
            </w:tcBorders>
            <w:vAlign w:val="center"/>
          </w:tcPr>
          <w:p w14:paraId="1AE290D9">
            <w:pPr>
              <w:pStyle w:val="59"/>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7ABF991B">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三级预防</w:t>
            </w:r>
          </w:p>
        </w:tc>
        <w:tc>
          <w:tcPr>
            <w:tcW w:w="5542" w:type="dxa"/>
            <w:tcBorders>
              <w:top w:val="nil"/>
              <w:left w:val="nil"/>
              <w:bottom w:val="nil"/>
              <w:right w:val="nil"/>
            </w:tcBorders>
          </w:tcPr>
          <w:p w14:paraId="7AA0755A">
            <w:pPr>
              <w:pStyle w:val="59"/>
              <w:widowControl w:val="0"/>
              <w:spacing w:line="360" w:lineRule="auto"/>
              <w:ind w:left="0" w:leftChars="0" w:firstLine="0" w:firstLineChars="0"/>
              <w:jc w:val="left"/>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疾病管理与康复：主要包括定期体检、规范治疗、防止伤残、促进功能恢复。</w:t>
            </w:r>
          </w:p>
        </w:tc>
      </w:tr>
      <w:tr w14:paraId="6A46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1" w:hRule="atLeast"/>
        </w:trPr>
        <w:tc>
          <w:tcPr>
            <w:tcW w:w="1550" w:type="dxa"/>
            <w:vMerge w:val="continue"/>
            <w:tcBorders>
              <w:top w:val="nil"/>
              <w:left w:val="nil"/>
              <w:bottom w:val="nil"/>
              <w:right w:val="nil"/>
            </w:tcBorders>
            <w:vAlign w:val="center"/>
          </w:tcPr>
          <w:p w14:paraId="305EDC3B">
            <w:pPr>
              <w:pStyle w:val="59"/>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23E7131C">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健康教育</w:t>
            </w:r>
          </w:p>
        </w:tc>
        <w:tc>
          <w:tcPr>
            <w:tcW w:w="5542" w:type="dxa"/>
            <w:tcBorders>
              <w:top w:val="nil"/>
              <w:left w:val="nil"/>
              <w:bottom w:val="nil"/>
              <w:right w:val="nil"/>
            </w:tcBorders>
          </w:tcPr>
          <w:p w14:paraId="6E42BCD4">
            <w:pPr>
              <w:pStyle w:val="18"/>
              <w:keepNext w:val="0"/>
              <w:keepLines w:val="0"/>
              <w:widowControl/>
              <w:suppressLineNumbers w:val="0"/>
              <w:spacing w:before="107" w:beforeAutospacing="0" w:after="0" w:afterAutospacing="0" w:line="360" w:lineRule="auto"/>
              <w:ind w:left="0" w:right="0"/>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患者知识教育与技能培训：教育与督促戒烟，讲解疾病基础知识，指导正确使用吸入装置，培训自我控制病情的技巧，告知就诊时机。</w:t>
            </w:r>
          </w:p>
        </w:tc>
      </w:tr>
      <w:tr w14:paraId="4ABC2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4449DEAC">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早期筛查</w:t>
            </w:r>
          </w:p>
        </w:tc>
        <w:tc>
          <w:tcPr>
            <w:tcW w:w="2138" w:type="dxa"/>
            <w:vMerge w:val="restart"/>
            <w:tcBorders>
              <w:top w:val="nil"/>
              <w:left w:val="nil"/>
              <w:bottom w:val="nil"/>
              <w:right w:val="nil"/>
            </w:tcBorders>
            <w:vAlign w:val="center"/>
          </w:tcPr>
          <w:p w14:paraId="25123743">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高危人群筛查</w:t>
            </w:r>
          </w:p>
        </w:tc>
        <w:tc>
          <w:tcPr>
            <w:tcW w:w="5542" w:type="dxa"/>
            <w:tcBorders>
              <w:top w:val="nil"/>
              <w:left w:val="nil"/>
              <w:bottom w:val="nil"/>
              <w:right w:val="nil"/>
            </w:tcBorders>
          </w:tcPr>
          <w:p w14:paraId="670C973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高危人群界定：年龄≥35岁，且符合至少一项危险因素，如吸烟或二手烟暴露、慢性呼吸系统疾病史、家族史、空气污染或职业暴露、反复呼吸道感染史、不良生活环境史、特定疾病史或营养状况不良等。</w:t>
            </w:r>
          </w:p>
        </w:tc>
      </w:tr>
      <w:tr w14:paraId="1A5C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0FEA4E3E">
            <w:pPr>
              <w:pStyle w:val="59"/>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5BE1C8C9">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p>
        </w:tc>
        <w:tc>
          <w:tcPr>
            <w:tcW w:w="5542" w:type="dxa"/>
            <w:tcBorders>
              <w:top w:val="nil"/>
              <w:left w:val="nil"/>
              <w:bottom w:val="nil"/>
              <w:right w:val="nil"/>
            </w:tcBorders>
          </w:tcPr>
          <w:p w14:paraId="172BAF4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问卷筛查：推荐使用《慢性阻塞性肺疾病筛查问卷》进行初步筛查，总分≥16分判定为阳性</w:t>
            </w:r>
            <w:r>
              <w:rPr>
                <w:rFonts w:hint="default" w:ascii="Times New Roman" w:hAnsi="Times New Roman" w:eastAsia="宋体" w:cs="Times New Roman"/>
                <w:kern w:val="0"/>
                <w:sz w:val="21"/>
                <w:szCs w:val="20"/>
                <w:vertAlign w:val="baseline"/>
                <w:lang w:val="en-US" w:eastAsia="zh-CN" w:bidi="ar-SA"/>
              </w:rPr>
              <w:t>。</w:t>
            </w:r>
          </w:p>
        </w:tc>
      </w:tr>
      <w:tr w14:paraId="27C8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6B4438E8">
            <w:pPr>
              <w:pStyle w:val="59"/>
              <w:widowControl w:val="0"/>
              <w:spacing w:line="360" w:lineRule="auto"/>
              <w:jc w:val="center"/>
              <w:outlineLvl w:val="9"/>
              <w:rPr>
                <w:rFonts w:ascii="Times New Roman"/>
                <w:vertAlign w:val="baseline"/>
              </w:rPr>
            </w:pPr>
          </w:p>
        </w:tc>
        <w:tc>
          <w:tcPr>
            <w:tcW w:w="2138" w:type="dxa"/>
            <w:vMerge w:val="continue"/>
            <w:tcBorders>
              <w:top w:val="nil"/>
              <w:left w:val="nil"/>
              <w:bottom w:val="nil"/>
              <w:right w:val="nil"/>
            </w:tcBorders>
            <w:vAlign w:val="center"/>
          </w:tcPr>
          <w:p w14:paraId="00B2B1C9">
            <w:pPr>
              <w:pStyle w:val="59"/>
              <w:widowControl w:val="0"/>
              <w:spacing w:line="360" w:lineRule="auto"/>
              <w:jc w:val="center"/>
              <w:outlineLvl w:val="9"/>
              <w:rPr>
                <w:rFonts w:ascii="Times New Roman"/>
                <w:vertAlign w:val="baseline"/>
              </w:rPr>
            </w:pPr>
          </w:p>
        </w:tc>
        <w:tc>
          <w:tcPr>
            <w:tcW w:w="5542" w:type="dxa"/>
            <w:tcBorders>
              <w:top w:val="nil"/>
              <w:left w:val="nil"/>
              <w:bottom w:val="nil"/>
              <w:right w:val="nil"/>
            </w:tcBorders>
          </w:tcPr>
          <w:p w14:paraId="6B206A1D">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影像学提示者的筛查：对影像检查发现肺部结构性异常者，应结合危险因素与症状评估，并推荐进行肺功能检查。</w:t>
            </w:r>
          </w:p>
        </w:tc>
      </w:tr>
      <w:tr w14:paraId="719A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50996E50">
            <w:pPr>
              <w:pStyle w:val="59"/>
              <w:widowControl w:val="0"/>
              <w:spacing w:line="360" w:lineRule="auto"/>
              <w:jc w:val="center"/>
              <w:outlineLvl w:val="9"/>
              <w:rPr>
                <w:rFonts w:ascii="Times New Roman"/>
                <w:vertAlign w:val="baseline"/>
              </w:rPr>
            </w:pPr>
          </w:p>
        </w:tc>
        <w:tc>
          <w:tcPr>
            <w:tcW w:w="2138" w:type="dxa"/>
            <w:tcBorders>
              <w:top w:val="nil"/>
              <w:left w:val="nil"/>
              <w:bottom w:val="nil"/>
              <w:right w:val="nil"/>
            </w:tcBorders>
            <w:vAlign w:val="center"/>
          </w:tcPr>
          <w:p w14:paraId="6673A7AA">
            <w:pPr>
              <w:pStyle w:val="59"/>
              <w:widowControl w:val="0"/>
              <w:spacing w:line="360" w:lineRule="auto"/>
              <w:ind w:left="0" w:leftChars="0" w:firstLine="0" w:firstLineChars="0"/>
              <w:jc w:val="center"/>
              <w:outlineLvl w:val="9"/>
              <w:rPr>
                <w:rFonts w:hint="default" w:ascii="Times New Roman" w:eastAsia="宋体"/>
                <w:vertAlign w:val="baseline"/>
                <w:lang w:val="en-US" w:eastAsia="zh-CN"/>
              </w:rPr>
            </w:pPr>
            <w:r>
              <w:rPr>
                <w:rFonts w:hint="eastAsia" w:ascii="Times New Roman"/>
                <w:vertAlign w:val="baseline"/>
                <w:lang w:val="en-US" w:eastAsia="zh-CN"/>
              </w:rPr>
              <w:t>筛查后处理</w:t>
            </w:r>
          </w:p>
        </w:tc>
        <w:tc>
          <w:tcPr>
            <w:tcW w:w="5542" w:type="dxa"/>
            <w:tcBorders>
              <w:top w:val="nil"/>
              <w:left w:val="nil"/>
              <w:bottom w:val="nil"/>
              <w:right w:val="nil"/>
            </w:tcBorders>
          </w:tcPr>
          <w:p w14:paraId="6A0E5EB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阳性结果管理：筛查阳性或影像学提示异常者，应转介至有资质的医疗机构，通过肺功能检查等规范程序明确诊断。</w:t>
            </w:r>
          </w:p>
        </w:tc>
      </w:tr>
      <w:tr w14:paraId="181C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142CE6CF">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分级管理</w:t>
            </w:r>
          </w:p>
          <w:p w14:paraId="14813A28">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7C43B047">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诊断与评估</w:t>
            </w:r>
          </w:p>
        </w:tc>
        <w:tc>
          <w:tcPr>
            <w:tcW w:w="5542" w:type="dxa"/>
            <w:tcBorders>
              <w:top w:val="nil"/>
              <w:left w:val="nil"/>
              <w:bottom w:val="nil"/>
              <w:right w:val="nil"/>
            </w:tcBorders>
            <w:vAlign w:val="top"/>
          </w:tcPr>
          <w:p w14:paraId="4E4D86E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综合诊断依据：临床诊断应基于危险因素暴露史、典型临床症状及肺功能检查证实的气流受限（FEV1/FVC &lt; 0.70）。</w:t>
            </w:r>
          </w:p>
        </w:tc>
      </w:tr>
      <w:tr w14:paraId="03B52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3DF5002A">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continue"/>
            <w:tcBorders>
              <w:top w:val="nil"/>
              <w:left w:val="nil"/>
              <w:bottom w:val="nil"/>
              <w:right w:val="nil"/>
            </w:tcBorders>
            <w:vAlign w:val="center"/>
          </w:tcPr>
          <w:p w14:paraId="7F729D93">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44FDABD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基层诊断路径：基层医疗机构通过筛查识别疑似患者，并建立转诊机制以完成肺功能确诊。</w:t>
            </w:r>
          </w:p>
        </w:tc>
      </w:tr>
      <w:tr w14:paraId="7AF19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130AF266">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restart"/>
            <w:tcBorders>
              <w:top w:val="nil"/>
              <w:left w:val="nil"/>
              <w:bottom w:val="nil"/>
              <w:right w:val="nil"/>
            </w:tcBorders>
            <w:vAlign w:val="center"/>
          </w:tcPr>
          <w:p w14:paraId="5B79BF4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分级诊疗与转诊</w:t>
            </w:r>
          </w:p>
        </w:tc>
        <w:tc>
          <w:tcPr>
            <w:tcW w:w="5542" w:type="dxa"/>
            <w:tcBorders>
              <w:top w:val="nil"/>
              <w:left w:val="nil"/>
              <w:bottom w:val="nil"/>
              <w:right w:val="nil"/>
            </w:tcBorders>
            <w:vAlign w:val="top"/>
          </w:tcPr>
          <w:p w14:paraId="1431664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患者管理流程：将患者纳入分级诊疗服务体系，执行从接诊评估到建立档案、实施长期管理的完整流程。</w:t>
            </w:r>
          </w:p>
        </w:tc>
      </w:tr>
      <w:tr w14:paraId="2521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760A70B9">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vMerge w:val="continue"/>
            <w:tcBorders>
              <w:top w:val="nil"/>
              <w:left w:val="nil"/>
              <w:bottom w:val="nil"/>
              <w:right w:val="nil"/>
            </w:tcBorders>
            <w:vAlign w:val="center"/>
          </w:tcPr>
          <w:p w14:paraId="04205C5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p>
        </w:tc>
        <w:tc>
          <w:tcPr>
            <w:tcW w:w="5542" w:type="dxa"/>
            <w:tcBorders>
              <w:top w:val="nil"/>
              <w:left w:val="nil"/>
              <w:bottom w:val="nil"/>
              <w:right w:val="nil"/>
            </w:tcBorders>
            <w:vAlign w:val="top"/>
          </w:tcPr>
          <w:p w14:paraId="62A2B18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转诊指征：紧急转诊指征为中重度急性加重经处理无改善需住院者；常规转诊指征包括需明确诊断、症状控制不佳、频繁急性加重或需处理合并症/并发症的情况。</w:t>
            </w:r>
          </w:p>
        </w:tc>
      </w:tr>
      <w:tr w14:paraId="7A802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continue"/>
            <w:tcBorders>
              <w:top w:val="nil"/>
              <w:left w:val="nil"/>
              <w:bottom w:val="nil"/>
              <w:right w:val="nil"/>
            </w:tcBorders>
            <w:vAlign w:val="center"/>
          </w:tcPr>
          <w:p w14:paraId="327BD050">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p>
        </w:tc>
        <w:tc>
          <w:tcPr>
            <w:tcW w:w="2138" w:type="dxa"/>
            <w:tcBorders>
              <w:top w:val="nil"/>
              <w:left w:val="nil"/>
              <w:bottom w:val="nil"/>
              <w:right w:val="nil"/>
            </w:tcBorders>
            <w:vAlign w:val="center"/>
          </w:tcPr>
          <w:p w14:paraId="778D4EB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default" w:ascii="Times New Roman" w:hAnsi="Times New Roman" w:eastAsia="宋体" w:cs="Times New Roman"/>
                <w:kern w:val="0"/>
                <w:sz w:val="21"/>
                <w:szCs w:val="20"/>
                <w:vertAlign w:val="baseline"/>
                <w:lang w:val="en-US" w:eastAsia="zh-CN" w:bidi="ar-SA"/>
              </w:rPr>
              <w:t>长期随访与综合评估</w:t>
            </w:r>
          </w:p>
        </w:tc>
        <w:tc>
          <w:tcPr>
            <w:tcW w:w="5542" w:type="dxa"/>
            <w:tcBorders>
              <w:top w:val="nil"/>
              <w:left w:val="nil"/>
              <w:bottom w:val="nil"/>
              <w:right w:val="nil"/>
            </w:tcBorders>
            <w:vAlign w:val="top"/>
          </w:tcPr>
          <w:p w14:paraId="4B88AE0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定期评估执行：根据病情严重程度确定随访频率（重度及以上每6个月，轻中度每年），并进行全面评估。</w:t>
            </w:r>
            <w:r>
              <w:rPr>
                <w:rFonts w:hint="eastAsia" w:ascii="Times New Roman" w:hAnsi="Times New Roman" w:cs="Times New Roman"/>
                <w:kern w:val="0"/>
                <w:sz w:val="21"/>
                <w:szCs w:val="20"/>
                <w:vertAlign w:val="baseline"/>
                <w:lang w:val="en-US" w:eastAsia="zh-CN" w:bidi="ar-SA"/>
              </w:rPr>
              <w:t>评估内容</w:t>
            </w:r>
            <w:r>
              <w:rPr>
                <w:rFonts w:hint="eastAsia" w:ascii="Times New Roman" w:hAnsi="Times New Roman" w:eastAsia="宋体" w:cs="Times New Roman"/>
                <w:kern w:val="0"/>
                <w:sz w:val="21"/>
                <w:szCs w:val="20"/>
                <w:vertAlign w:val="baseline"/>
                <w:lang w:val="en-US" w:eastAsia="zh-CN" w:bidi="ar-SA"/>
              </w:rPr>
              <w:t>包括评估行为风险与治疗依从性、评估疾病状态（肺功能、急性加重、症状与运动耐量）、评估患者整体状况与合并症/并发症以及评估疾病认知与自我管理技能。</w:t>
            </w:r>
          </w:p>
        </w:tc>
      </w:tr>
      <w:tr w14:paraId="58B5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Merge w:val="restart"/>
            <w:tcBorders>
              <w:top w:val="nil"/>
              <w:left w:val="nil"/>
              <w:bottom w:val="nil"/>
              <w:right w:val="nil"/>
            </w:tcBorders>
            <w:vAlign w:val="center"/>
          </w:tcPr>
          <w:p w14:paraId="1103670C">
            <w:pPr>
              <w:pStyle w:val="59"/>
              <w:widowControl w:val="0"/>
              <w:spacing w:line="360" w:lineRule="auto"/>
              <w:ind w:left="0" w:leftChars="0" w:firstLine="0" w:firstLineChars="0"/>
              <w:jc w:val="center"/>
              <w:outlineLvl w:val="9"/>
              <w:rPr>
                <w:rFonts w:hint="eastAsia" w:ascii="Times New Roman" w:eastAsia="宋体"/>
                <w:vertAlign w:val="baseline"/>
                <w:lang w:val="en-US" w:eastAsia="zh-CN"/>
              </w:rPr>
            </w:pPr>
            <w:r>
              <w:rPr>
                <w:rFonts w:hint="eastAsia" w:ascii="宋体" w:hAnsi="宋体" w:eastAsia="宋体" w:cs="宋体"/>
                <w:b w:val="0"/>
                <w:i w:val="0"/>
                <w:iCs w:val="0"/>
                <w:color w:val="000000"/>
                <w:kern w:val="0"/>
                <w:sz w:val="21"/>
                <w:szCs w:val="21"/>
                <w:u w:val="none"/>
                <w:lang w:val="en-US" w:eastAsia="zh-CN" w:bidi="ar"/>
              </w:rPr>
              <w:t>规范治疗</w:t>
            </w:r>
          </w:p>
        </w:tc>
        <w:tc>
          <w:tcPr>
            <w:tcW w:w="2138" w:type="dxa"/>
            <w:tcBorders>
              <w:top w:val="nil"/>
              <w:left w:val="nil"/>
              <w:bottom w:val="nil"/>
              <w:right w:val="nil"/>
            </w:tcBorders>
            <w:vAlign w:val="center"/>
          </w:tcPr>
          <w:p w14:paraId="38CF1ED4">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药物治疗</w:t>
            </w:r>
          </w:p>
        </w:tc>
        <w:tc>
          <w:tcPr>
            <w:tcW w:w="5542" w:type="dxa"/>
            <w:tcBorders>
              <w:top w:val="nil"/>
              <w:left w:val="nil"/>
              <w:bottom w:val="nil"/>
              <w:right w:val="nil"/>
            </w:tcBorders>
            <w:vAlign w:val="top"/>
          </w:tcPr>
          <w:p w14:paraId="1631A66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药物应用：支气管舒张剂是症状管理的核心，优先选择吸入给药；对于有急性加重风险的特定患者，联合使用吸入性糖皮质激素具有重要意义，三联吸入治疗可能优于双联治疗；其他辅助治疗药物包括祛痰剂与抗氧化剂、PDE-4抑制剂及免疫调节剂，适用于特定情况以降低急性加重风险。</w:t>
            </w:r>
          </w:p>
        </w:tc>
      </w:tr>
      <w:tr w14:paraId="2DFD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20C1F5B0">
            <w:pPr>
              <w:pStyle w:val="59"/>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10A6AB19">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吸入装置选择与使用指导</w:t>
            </w:r>
          </w:p>
        </w:tc>
        <w:tc>
          <w:tcPr>
            <w:tcW w:w="5542" w:type="dxa"/>
            <w:tcBorders>
              <w:top w:val="nil"/>
              <w:left w:val="nil"/>
              <w:bottom w:val="nil"/>
              <w:right w:val="nil"/>
            </w:tcBorders>
            <w:vAlign w:val="top"/>
          </w:tcPr>
          <w:p w14:paraId="637978B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个体化选择与培训：依据患者的吸气能力、协调性、认知状态及偏好选择吸入装置（如pMDI、DPI、SMI）。所有患者均应在初始处方时接受并定期复核吸入技术的培训与指导。</w:t>
            </w:r>
          </w:p>
        </w:tc>
      </w:tr>
      <w:tr w14:paraId="690C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70A7D18E">
            <w:pPr>
              <w:pStyle w:val="59"/>
              <w:widowControl w:val="0"/>
              <w:spacing w:line="360" w:lineRule="auto"/>
              <w:ind w:firstLine="420" w:firstLineChars="200"/>
              <w:jc w:val="center"/>
              <w:outlineLvl w:val="9"/>
              <w:rPr>
                <w:rFonts w:ascii="Times New Roman"/>
                <w:vertAlign w:val="baseline"/>
              </w:rPr>
            </w:pPr>
          </w:p>
        </w:tc>
        <w:tc>
          <w:tcPr>
            <w:tcW w:w="2138" w:type="dxa"/>
            <w:tcBorders>
              <w:top w:val="nil"/>
              <w:left w:val="nil"/>
              <w:bottom w:val="nil"/>
              <w:right w:val="nil"/>
            </w:tcBorders>
            <w:vAlign w:val="center"/>
          </w:tcPr>
          <w:p w14:paraId="38A3D599">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非药物治疗</w:t>
            </w:r>
          </w:p>
        </w:tc>
        <w:tc>
          <w:tcPr>
            <w:tcW w:w="5542" w:type="dxa"/>
            <w:tcBorders>
              <w:top w:val="nil"/>
              <w:left w:val="nil"/>
              <w:bottom w:val="nil"/>
              <w:right w:val="nil"/>
            </w:tcBorders>
            <w:vAlign w:val="top"/>
          </w:tcPr>
          <w:p w14:paraId="638A723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综合非药物干预：包括全面的患者教育与自我管理支持；以戒烟为核心的危险因素控制；推荐定期接种流感疫苗与肺炎球菌疫苗；对症状明显的患者鼓励规律体力活动，对中重度呼吸困难患者强烈推荐结构化肺康复计划；对符合指征的患者实施长期氧疗或家庭无创通气。</w:t>
            </w:r>
          </w:p>
        </w:tc>
      </w:tr>
      <w:tr w14:paraId="1C6E8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1A306722">
            <w:pPr>
              <w:pStyle w:val="59"/>
              <w:widowControl w:val="0"/>
              <w:spacing w:line="360" w:lineRule="auto"/>
              <w:ind w:left="0" w:leftChars="0" w:firstLine="0" w:firstLineChars="0"/>
              <w:jc w:val="center"/>
              <w:outlineLvl w:val="9"/>
              <w:rPr>
                <w:rFonts w:hint="default"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功能康复</w:t>
            </w:r>
          </w:p>
        </w:tc>
        <w:tc>
          <w:tcPr>
            <w:tcW w:w="2138" w:type="dxa"/>
            <w:tcBorders>
              <w:top w:val="nil"/>
              <w:left w:val="nil"/>
              <w:bottom w:val="nil"/>
              <w:right w:val="nil"/>
            </w:tcBorders>
            <w:vAlign w:val="center"/>
          </w:tcPr>
          <w:p w14:paraId="5943FFE3">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中医肺康复技术</w:t>
            </w:r>
          </w:p>
        </w:tc>
        <w:tc>
          <w:tcPr>
            <w:tcW w:w="5542" w:type="dxa"/>
            <w:tcBorders>
              <w:top w:val="nil"/>
              <w:left w:val="nil"/>
              <w:bottom w:val="nil"/>
              <w:right w:val="nil"/>
            </w:tcBorders>
            <w:vAlign w:val="top"/>
          </w:tcPr>
          <w:p w14:paraId="1A27897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主</w:t>
            </w:r>
            <w:r>
              <w:rPr>
                <w:rFonts w:hint="default" w:ascii="Times New Roman" w:hAnsi="Times New Roman" w:eastAsia="宋体" w:cs="Times New Roman"/>
                <w:kern w:val="0"/>
                <w:sz w:val="21"/>
                <w:szCs w:val="20"/>
                <w:vertAlign w:val="baseline"/>
                <w:lang w:val="en-US" w:eastAsia="zh-CN" w:bidi="ar-SA"/>
              </w:rPr>
              <w:t>要技术措施</w:t>
            </w:r>
            <w:r>
              <w:rPr>
                <w:rFonts w:hint="eastAsia" w:ascii="Times New Roman" w:hAnsi="Times New Roman" w:eastAsia="宋体" w:cs="Times New Roman"/>
                <w:kern w:val="0"/>
                <w:sz w:val="21"/>
                <w:szCs w:val="20"/>
                <w:vertAlign w:val="baseline"/>
                <w:lang w:val="en-US" w:eastAsia="zh-CN" w:bidi="ar-SA"/>
              </w:rPr>
              <w:t>：</w:t>
            </w:r>
          </w:p>
          <w:p w14:paraId="50F1645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①传统运动导引法：包括太极拳、八段锦、五禽戏、易筋经。</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eastAsia="宋体" w:cs="Times New Roman"/>
                <w:kern w:val="0"/>
                <w:sz w:val="21"/>
                <w:szCs w:val="20"/>
                <w:vertAlign w:val="baseline"/>
                <w:lang w:val="en-US" w:eastAsia="zh-CN" w:bidi="ar-SA"/>
              </w:rPr>
              <w:t>②</w:t>
            </w:r>
            <w:r>
              <w:rPr>
                <w:rFonts w:hint="default" w:ascii="Times New Roman" w:hAnsi="Times New Roman" w:eastAsia="宋体" w:cs="Times New Roman"/>
                <w:kern w:val="0"/>
                <w:sz w:val="21"/>
                <w:szCs w:val="20"/>
                <w:vertAlign w:val="baseline"/>
                <w:lang w:val="en-US" w:eastAsia="zh-CN" w:bidi="ar-SA"/>
              </w:rPr>
              <w:t>呼吸吐纳训练法：如六字诀、呼吸引导术。</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eastAsia="宋体" w:cs="Times New Roman"/>
                <w:kern w:val="0"/>
                <w:sz w:val="21"/>
                <w:szCs w:val="20"/>
                <w:vertAlign w:val="baseline"/>
                <w:lang w:val="en-US" w:eastAsia="zh-CN" w:bidi="ar-SA"/>
              </w:rPr>
              <w:t>③</w:t>
            </w:r>
            <w:r>
              <w:rPr>
                <w:rFonts w:hint="default" w:ascii="Times New Roman" w:hAnsi="Times New Roman" w:eastAsia="宋体" w:cs="Times New Roman"/>
                <w:kern w:val="0"/>
                <w:sz w:val="21"/>
                <w:szCs w:val="20"/>
                <w:vertAlign w:val="baseline"/>
                <w:lang w:val="en-US" w:eastAsia="zh-CN" w:bidi="ar-SA"/>
              </w:rPr>
              <w:t>中医外治技术：包括穴位敷贴、艾灸疗法、针刺疗法、穴位注射。</w:t>
            </w:r>
            <w:r>
              <w:rPr>
                <w:rFonts w:hint="default" w:ascii="Times New Roman" w:hAnsi="Times New Roman" w:eastAsia="宋体" w:cs="Times New Roman"/>
                <w:kern w:val="0"/>
                <w:sz w:val="21"/>
                <w:szCs w:val="20"/>
                <w:vertAlign w:val="baseline"/>
                <w:lang w:val="en-US" w:eastAsia="zh-CN" w:bidi="ar-SA"/>
              </w:rPr>
              <w:br w:type="textWrapping"/>
            </w:r>
            <w:r>
              <w:rPr>
                <w:rFonts w:hint="eastAsia" w:ascii="Times New Roman" w:hAnsi="Times New Roman" w:eastAsia="宋体" w:cs="Times New Roman"/>
                <w:kern w:val="0"/>
                <w:sz w:val="21"/>
                <w:szCs w:val="20"/>
                <w:vertAlign w:val="baseline"/>
                <w:lang w:val="en-US" w:eastAsia="zh-CN" w:bidi="ar-SA"/>
              </w:rPr>
              <w:t>④</w:t>
            </w:r>
            <w:r>
              <w:rPr>
                <w:rFonts w:hint="default" w:ascii="Times New Roman" w:hAnsi="Times New Roman" w:eastAsia="宋体" w:cs="Times New Roman"/>
                <w:kern w:val="0"/>
                <w:sz w:val="21"/>
                <w:szCs w:val="20"/>
                <w:vertAlign w:val="baseline"/>
                <w:lang w:val="en-US" w:eastAsia="zh-CN" w:bidi="ar-SA"/>
              </w:rPr>
              <w:t>食疗与膏方调养：进行个体化饮食药膳指导，必要时辨证开具膏方</w:t>
            </w:r>
          </w:p>
        </w:tc>
      </w:tr>
      <w:tr w14:paraId="00B2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top"/>
          </w:tcPr>
          <w:p w14:paraId="0EADF45B">
            <w:pPr>
              <w:pStyle w:val="59"/>
              <w:widowControl w:val="0"/>
              <w:spacing w:line="360" w:lineRule="auto"/>
              <w:ind w:firstLine="420" w:firstLineChars="200"/>
              <w:jc w:val="left"/>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bottom w:val="nil"/>
              <w:right w:val="nil"/>
            </w:tcBorders>
            <w:vAlign w:val="center"/>
          </w:tcPr>
          <w:p w14:paraId="63B60C56">
            <w:pPr>
              <w:pStyle w:val="59"/>
              <w:widowControl w:val="0"/>
              <w:spacing w:line="360" w:lineRule="auto"/>
              <w:ind w:left="0" w:leftChars="0" w:firstLine="0" w:firstLineChars="0"/>
              <w:jc w:val="center"/>
              <w:outlineLvl w:val="9"/>
              <w:rPr>
                <w:rFonts w:hint="default" w:ascii="宋体" w:hAnsi="宋体" w:eastAsia="宋体" w:cs="宋体"/>
                <w:b w:val="0"/>
                <w:i w:val="0"/>
                <w:iCs w:val="0"/>
                <w:color w:val="000000"/>
                <w:kern w:val="0"/>
                <w:sz w:val="21"/>
                <w:szCs w:val="21"/>
                <w:u w:val="none"/>
                <w:lang w:val="en-US" w:eastAsia="zh-CN" w:bidi="ar"/>
              </w:rPr>
            </w:pPr>
            <w:r>
              <w:rPr>
                <w:rFonts w:hint="eastAsia" w:hAnsi="宋体" w:cs="宋体"/>
                <w:b w:val="0"/>
                <w:i w:val="0"/>
                <w:iCs w:val="0"/>
                <w:color w:val="000000"/>
                <w:kern w:val="0"/>
                <w:sz w:val="21"/>
                <w:szCs w:val="21"/>
                <w:u w:val="none"/>
                <w:lang w:val="en-US" w:eastAsia="zh-CN" w:bidi="ar"/>
              </w:rPr>
              <w:t>技术应用</w:t>
            </w:r>
          </w:p>
        </w:tc>
        <w:tc>
          <w:tcPr>
            <w:tcW w:w="5542" w:type="dxa"/>
            <w:tcBorders>
              <w:top w:val="nil"/>
              <w:left w:val="nil"/>
              <w:bottom w:val="nil"/>
              <w:right w:val="nil"/>
            </w:tcBorders>
            <w:vAlign w:val="top"/>
          </w:tcPr>
          <w:p w14:paraId="5C4A017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cs="Times New Roman"/>
                <w:kern w:val="0"/>
                <w:sz w:val="21"/>
                <w:szCs w:val="20"/>
                <w:vertAlign w:val="baseline"/>
                <w:lang w:val="en-US" w:eastAsia="zh-CN" w:bidi="ar-SA"/>
              </w:rPr>
              <w:t>临床技术应用</w:t>
            </w:r>
            <w:r>
              <w:rPr>
                <w:rFonts w:hint="eastAsia" w:ascii="Times New Roman" w:hAnsi="Times New Roman" w:eastAsia="宋体" w:cs="Times New Roman"/>
                <w:kern w:val="0"/>
                <w:sz w:val="21"/>
                <w:szCs w:val="20"/>
                <w:vertAlign w:val="baseline"/>
                <w:lang w:val="en-US" w:eastAsia="zh-CN" w:bidi="ar-SA"/>
              </w:rPr>
              <w:t>：中医肺康复技术可作为现代康复方案的重要组成部分或替代选择，应根据患者病情、体能、个人意愿及中医辨证结果，选择一种或多种技术组合应用。</w:t>
            </w:r>
          </w:p>
        </w:tc>
      </w:tr>
      <w:tr w14:paraId="1290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restart"/>
            <w:tcBorders>
              <w:top w:val="nil"/>
              <w:left w:val="nil"/>
              <w:bottom w:val="nil"/>
              <w:right w:val="nil"/>
            </w:tcBorders>
            <w:vAlign w:val="center"/>
          </w:tcPr>
          <w:p w14:paraId="0BC1E784">
            <w:pPr>
              <w:pStyle w:val="59"/>
              <w:widowControl w:val="0"/>
              <w:spacing w:line="360" w:lineRule="auto"/>
              <w:ind w:left="0" w:leftChars="0" w:firstLine="0" w:firstLineChars="0"/>
              <w:jc w:val="center"/>
              <w:outlineLvl w:val="9"/>
              <w:rPr>
                <w:rFonts w:hint="eastAsia" w:ascii="Times New Roman" w:hAnsi="Times New Roman" w:eastAsia="宋体" w:cs="Times New Roman"/>
                <w:kern w:val="0"/>
                <w:sz w:val="21"/>
                <w:szCs w:val="20"/>
                <w:vertAlign w:val="baseline"/>
                <w:lang w:val="en-US" w:eastAsia="zh-CN" w:bidi="ar-SA"/>
              </w:rPr>
            </w:pPr>
            <w:r>
              <w:rPr>
                <w:rFonts w:hint="eastAsia" w:ascii="宋体" w:hAnsi="宋体" w:eastAsia="宋体" w:cs="宋体"/>
                <w:b w:val="0"/>
                <w:i w:val="0"/>
                <w:iCs w:val="0"/>
                <w:color w:val="000000"/>
                <w:kern w:val="0"/>
                <w:sz w:val="21"/>
                <w:szCs w:val="21"/>
                <w:u w:val="none"/>
                <w:lang w:val="en-US" w:eastAsia="zh-CN" w:bidi="ar"/>
              </w:rPr>
              <w:t>长期护理</w:t>
            </w:r>
          </w:p>
        </w:tc>
        <w:tc>
          <w:tcPr>
            <w:tcW w:w="2138" w:type="dxa"/>
            <w:vMerge w:val="restart"/>
            <w:tcBorders>
              <w:top w:val="nil"/>
              <w:left w:val="nil"/>
              <w:bottom w:val="nil"/>
              <w:right w:val="nil"/>
            </w:tcBorders>
            <w:vAlign w:val="center"/>
          </w:tcPr>
          <w:p w14:paraId="6C3819D5">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稳定期护理</w:t>
            </w:r>
          </w:p>
        </w:tc>
        <w:tc>
          <w:tcPr>
            <w:tcW w:w="5542" w:type="dxa"/>
            <w:tcBorders>
              <w:top w:val="nil"/>
              <w:left w:val="nil"/>
              <w:bottom w:val="nil"/>
              <w:right w:val="nil"/>
            </w:tcBorders>
            <w:vAlign w:val="top"/>
          </w:tcPr>
          <w:p w14:paraId="5B470BC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行为干预与环境控制：提供持续戒烟支持，指导避免接触各类刺激物；建议保持居住环境空气流通、温湿度适宜，注意防寒保暖。</w:t>
            </w:r>
          </w:p>
        </w:tc>
      </w:tr>
      <w:tr w14:paraId="4196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550" w:type="dxa"/>
            <w:vMerge w:val="continue"/>
            <w:tcBorders>
              <w:top w:val="nil"/>
              <w:left w:val="nil"/>
              <w:bottom w:val="nil"/>
              <w:right w:val="nil"/>
            </w:tcBorders>
            <w:vAlign w:val="center"/>
          </w:tcPr>
          <w:p w14:paraId="4D4153BB">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7B275A5D">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548501B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呼吸模式与功能训练：指导患者规律进行缩唇呼吸与腹式呼吸训练，以优化呼吸模式。</w:t>
            </w:r>
          </w:p>
        </w:tc>
      </w:tr>
      <w:tr w14:paraId="0097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171D9ECA">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23C82AB3">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2CFE29F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康复锻炼指导：鼓励患者在耐受范围内进行规律有氧运动与抗阻训练，积极推荐参与结构化肺康复项目。</w:t>
            </w:r>
          </w:p>
        </w:tc>
      </w:tr>
      <w:tr w14:paraId="76D3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4E4211BC">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544CD3BB">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0A9C5F5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治疗依从性管理：反复指导并定期核查患者吸入装置使用技术，教育并监督患者长期规律用药。</w:t>
            </w:r>
          </w:p>
        </w:tc>
      </w:tr>
      <w:tr w14:paraId="7D2A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230EA8B0">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77BD214B">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50CF2E7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长期氧疗管理：指导符合指征的患者正确执行家庭氧疗，确保每日时长与流量达标，并掌握设备维护与安全知识。</w:t>
            </w:r>
          </w:p>
        </w:tc>
      </w:tr>
      <w:tr w14:paraId="5233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3B0FD8D4">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5180FA32">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617D627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营养支持与监测：提供个体化高蛋白、高热量饮食指导，可建议少食多餐；定期评估BMI及营养状况。</w:t>
            </w:r>
          </w:p>
        </w:tc>
      </w:tr>
      <w:tr w14:paraId="2E61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1A97D462">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6D7EA560">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0A67D11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自我监测与定期随访：指导患者记录症状日记，并督促其按计划定期复诊与检查。</w:t>
            </w:r>
          </w:p>
        </w:tc>
      </w:tr>
      <w:tr w14:paraId="7B2B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35114715">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restart"/>
            <w:tcBorders>
              <w:top w:val="nil"/>
              <w:left w:val="nil"/>
              <w:bottom w:val="nil"/>
              <w:right w:val="nil"/>
            </w:tcBorders>
            <w:vAlign w:val="center"/>
          </w:tcPr>
          <w:p w14:paraId="5890FB2F">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急性加重期护理</w:t>
            </w:r>
          </w:p>
        </w:tc>
        <w:tc>
          <w:tcPr>
            <w:tcW w:w="5542" w:type="dxa"/>
            <w:tcBorders>
              <w:top w:val="nil"/>
              <w:left w:val="nil"/>
              <w:bottom w:val="nil"/>
              <w:right w:val="nil"/>
            </w:tcBorders>
            <w:vAlign w:val="top"/>
          </w:tcPr>
          <w:p w14:paraId="0CEB976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早期识别与紧急应对：教育患者及照护者识别急性加重关键征兆，并明确告知须立即启动应急联系与就医流程。</w:t>
            </w:r>
          </w:p>
        </w:tc>
      </w:tr>
      <w:tr w14:paraId="1AC52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bottom w:val="nil"/>
              <w:right w:val="nil"/>
            </w:tcBorders>
            <w:vAlign w:val="center"/>
          </w:tcPr>
          <w:p w14:paraId="60C9FDAD">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vMerge w:val="continue"/>
            <w:tcBorders>
              <w:top w:val="nil"/>
              <w:left w:val="nil"/>
              <w:bottom w:val="nil"/>
              <w:right w:val="nil"/>
            </w:tcBorders>
            <w:vAlign w:val="center"/>
          </w:tcPr>
          <w:p w14:paraId="380351C5">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p>
        </w:tc>
        <w:tc>
          <w:tcPr>
            <w:tcW w:w="5542" w:type="dxa"/>
            <w:tcBorders>
              <w:top w:val="nil"/>
              <w:left w:val="nil"/>
              <w:bottom w:val="nil"/>
              <w:right w:val="nil"/>
            </w:tcBorders>
            <w:vAlign w:val="top"/>
          </w:tcPr>
          <w:p w14:paraId="4472CD8B">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急性期支持性护理：在医疗机构内，根据血气结果实施控制性氧疗；确保患者及时接受医嘱的强化治疗；协助患者进行有效气道廓清。</w:t>
            </w:r>
          </w:p>
        </w:tc>
      </w:tr>
      <w:tr w14:paraId="0036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550" w:type="dxa"/>
            <w:vMerge w:val="continue"/>
            <w:tcBorders>
              <w:top w:val="nil"/>
              <w:left w:val="nil"/>
              <w:right w:val="nil"/>
            </w:tcBorders>
            <w:vAlign w:val="center"/>
          </w:tcPr>
          <w:p w14:paraId="0CDF1DFD">
            <w:pPr>
              <w:pStyle w:val="59"/>
              <w:widowControl w:val="0"/>
              <w:spacing w:line="360" w:lineRule="auto"/>
              <w:ind w:firstLine="420" w:firstLineChars="200"/>
              <w:jc w:val="center"/>
              <w:outlineLvl w:val="9"/>
              <w:rPr>
                <w:rFonts w:hint="eastAsia" w:ascii="Times New Roman" w:hAnsi="Times New Roman" w:eastAsia="宋体" w:cs="Times New Roman"/>
                <w:kern w:val="0"/>
                <w:sz w:val="21"/>
                <w:szCs w:val="20"/>
                <w:vertAlign w:val="baseline"/>
                <w:lang w:val="en-US" w:eastAsia="zh-CN" w:bidi="ar-SA"/>
              </w:rPr>
            </w:pPr>
          </w:p>
        </w:tc>
        <w:tc>
          <w:tcPr>
            <w:tcW w:w="2138" w:type="dxa"/>
            <w:tcBorders>
              <w:top w:val="nil"/>
              <w:left w:val="nil"/>
              <w:right w:val="nil"/>
            </w:tcBorders>
            <w:vAlign w:val="center"/>
          </w:tcPr>
          <w:p w14:paraId="43B8E365">
            <w:pPr>
              <w:pStyle w:val="59"/>
              <w:widowControl w:val="0"/>
              <w:spacing w:line="360" w:lineRule="auto"/>
              <w:ind w:left="0" w:leftChars="0" w:firstLine="0" w:firstLineChars="0"/>
              <w:jc w:val="center"/>
              <w:outlineLvl w:val="9"/>
              <w:rPr>
                <w:rFonts w:hint="eastAsia" w:ascii="宋体" w:hAnsi="宋体" w:eastAsia="宋体" w:cs="宋体"/>
                <w:b w:val="0"/>
                <w:i w:val="0"/>
                <w:iCs w:val="0"/>
                <w:color w:val="000000"/>
                <w:kern w:val="0"/>
                <w:sz w:val="21"/>
                <w:szCs w:val="21"/>
                <w:u w:val="none"/>
                <w:lang w:val="en-US" w:eastAsia="zh-CN" w:bidi="ar"/>
              </w:rPr>
            </w:pPr>
            <w:r>
              <w:rPr>
                <w:rFonts w:hint="eastAsia" w:ascii="宋体" w:hAnsi="宋体" w:eastAsia="宋体" w:cs="宋体"/>
                <w:b w:val="0"/>
                <w:i w:val="0"/>
                <w:iCs w:val="0"/>
                <w:color w:val="000000"/>
                <w:kern w:val="0"/>
                <w:sz w:val="21"/>
                <w:szCs w:val="21"/>
                <w:u w:val="none"/>
                <w:lang w:val="en-US" w:eastAsia="zh-CN" w:bidi="ar"/>
              </w:rPr>
              <w:t>心理与社会支持</w:t>
            </w:r>
          </w:p>
        </w:tc>
        <w:tc>
          <w:tcPr>
            <w:tcW w:w="5542" w:type="dxa"/>
            <w:tcBorders>
              <w:top w:val="nil"/>
              <w:left w:val="nil"/>
              <w:right w:val="nil"/>
            </w:tcBorders>
            <w:vAlign w:val="top"/>
          </w:tcPr>
          <w:p w14:paraId="43F40BDA">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imes New Roman"/>
                <w:kern w:val="0"/>
                <w:sz w:val="21"/>
                <w:szCs w:val="20"/>
                <w:vertAlign w:val="baseline"/>
                <w:lang w:val="en-US" w:eastAsia="zh-CN" w:bidi="ar-SA"/>
              </w:rPr>
            </w:pPr>
            <w:r>
              <w:rPr>
                <w:rFonts w:hint="eastAsia" w:ascii="Times New Roman" w:hAnsi="Times New Roman" w:eastAsia="宋体" w:cs="Times New Roman"/>
                <w:kern w:val="0"/>
                <w:sz w:val="21"/>
                <w:szCs w:val="20"/>
                <w:vertAlign w:val="baseline"/>
                <w:lang w:val="en-US" w:eastAsia="zh-CN" w:bidi="ar-SA"/>
              </w:rPr>
              <w:t>全面支持体系构建：主动评估并提供心理疏导，必要时协助寻求专业干预；根据患者需求提供持续的疾病教育与技能培训；鼓励家庭参与，协助链接社区资源，维持社会交往。</w:t>
            </w:r>
          </w:p>
        </w:tc>
      </w:tr>
    </w:tbl>
    <w:p w14:paraId="0429FCF9">
      <w:pPr>
        <w:pStyle w:val="59"/>
        <w:spacing w:line="360" w:lineRule="auto"/>
        <w:ind w:firstLine="420"/>
        <w:jc w:val="left"/>
        <w:rPr>
          <w:rFonts w:hint="eastAsia" w:ascii="Times New Roman" w:hAnsi="Times New Roman" w:eastAsia="宋体" w:cs="Times New Roman"/>
          <w:kern w:val="0"/>
          <w:sz w:val="21"/>
          <w:szCs w:val="20"/>
          <w:vertAlign w:val="baseline"/>
          <w:lang w:val="en-US" w:eastAsia="zh-CN" w:bidi="ar-SA"/>
        </w:rPr>
      </w:pPr>
    </w:p>
    <w:p w14:paraId="643EF6E6">
      <w:pPr>
        <w:pStyle w:val="64"/>
        <w:numPr>
          <w:ilvl w:val="1"/>
          <w:numId w:val="0"/>
        </w:numPr>
        <w:spacing w:before="240" w:after="240" w:line="360" w:lineRule="auto"/>
        <w:ind w:left="-420" w:leftChars="-200" w:firstLine="422" w:firstLineChars="200"/>
        <w:rPr>
          <w:rFonts w:hint="eastAsia" w:hAnsi="黑体" w:cs="黑体"/>
          <w:b/>
          <w:bCs/>
          <w:lang w:val="en-US" w:eastAsia="zh-CN"/>
        </w:rPr>
      </w:pPr>
      <w:bookmarkStart w:id="33" w:name="_Toc19095"/>
      <w:r>
        <w:rPr>
          <w:rFonts w:hint="eastAsia" w:hAnsi="黑体" w:cs="黑体"/>
          <w:b/>
          <w:bCs/>
          <w:lang w:val="en-US" w:eastAsia="zh-CN"/>
        </w:rPr>
        <w:t>6 实施要求</w:t>
      </w:r>
      <w:bookmarkEnd w:id="33"/>
    </w:p>
    <w:p w14:paraId="15CE3D86">
      <w:pPr>
        <w:pStyle w:val="64"/>
        <w:numPr>
          <w:ilvl w:val="1"/>
          <w:numId w:val="0"/>
        </w:numPr>
        <w:spacing w:before="240" w:after="240" w:line="360" w:lineRule="auto"/>
        <w:ind w:left="-420" w:leftChars="-200" w:firstLine="422" w:firstLineChars="200"/>
        <w:outlineLvl w:val="9"/>
        <w:rPr>
          <w:rFonts w:hint="eastAsia" w:hAnsi="黑体" w:cs="黑体"/>
          <w:b/>
          <w:bCs/>
          <w:lang w:val="en-US" w:eastAsia="zh-CN"/>
        </w:rPr>
      </w:pPr>
      <w:r>
        <w:rPr>
          <w:rFonts w:hint="eastAsia" w:hAnsi="黑体" w:cs="黑体"/>
          <w:b/>
          <w:bCs/>
          <w:lang w:val="en-US" w:eastAsia="zh-CN"/>
        </w:rPr>
        <w:t>6.1 人员资质</w:t>
      </w:r>
    </w:p>
    <w:p w14:paraId="1C4AF1B3">
      <w:pPr>
        <w:pStyle w:val="18"/>
        <w:keepNext w:val="0"/>
        <w:keepLines w:val="0"/>
        <w:widowControl/>
        <w:suppressLineNumbers w:val="0"/>
        <w:spacing w:line="360" w:lineRule="auto"/>
        <w:ind w:firstLine="420" w:firstLineChars="200"/>
        <w:outlineLvl w:val="9"/>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实施机构应根据服务内容配备相应人员，明确岗位分工与责任。相关人员应具备相应执业或岗位资格，并经培训后上岗；开展较高难度技术的人员应具备相应专业能力与经验。参与人员应了解基本的服务规范、信息记录与隐私保护要求。</w:t>
      </w:r>
    </w:p>
    <w:p w14:paraId="4CAB8B6B">
      <w:pPr>
        <w:pStyle w:val="64"/>
        <w:numPr>
          <w:ilvl w:val="1"/>
          <w:numId w:val="0"/>
        </w:numPr>
        <w:spacing w:before="240" w:after="240" w:line="360" w:lineRule="auto"/>
        <w:ind w:left="-420" w:leftChars="-200" w:firstLine="422" w:firstLineChars="200"/>
        <w:outlineLvl w:val="9"/>
        <w:rPr>
          <w:rFonts w:hint="eastAsia" w:hAnsi="黑体" w:cs="黑体"/>
          <w:b/>
          <w:bCs/>
          <w:lang w:val="en-US" w:eastAsia="zh-CN"/>
        </w:rPr>
      </w:pPr>
      <w:r>
        <w:rPr>
          <w:rFonts w:hint="eastAsia" w:hAnsi="黑体" w:cs="黑体"/>
          <w:b/>
          <w:bCs/>
          <w:lang w:val="en-US" w:eastAsia="zh-CN"/>
        </w:rPr>
        <w:t>6.2 机构配置</w:t>
      </w:r>
    </w:p>
    <w:p w14:paraId="7479E80E">
      <w:pPr>
        <w:pStyle w:val="18"/>
        <w:keepNext w:val="0"/>
        <w:keepLines w:val="0"/>
        <w:widowControl/>
        <w:suppressLineNumbers w:val="0"/>
        <w:spacing w:line="360" w:lineRule="auto"/>
        <w:ind w:firstLine="420" w:firstLineChars="200"/>
        <w:outlineLvl w:val="9"/>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实施机构应配备开展服务所需的基本场地、设备与保障条件，能够支撑“防、筛、管、治、康、护”连续开展。基层机构应具备基础服务能力，并与上级机构建立转诊协作；承担更高层级技术的机构应具备相应专科条件和安全管理能力。服务过程应有基本记录与可追溯的管理方式。</w:t>
      </w:r>
    </w:p>
    <w:p w14:paraId="6C5C3DE8">
      <w:pPr>
        <w:pStyle w:val="64"/>
        <w:numPr>
          <w:ilvl w:val="1"/>
          <w:numId w:val="0"/>
        </w:numPr>
        <w:spacing w:before="240" w:after="240" w:line="360" w:lineRule="auto"/>
        <w:ind w:left="-420" w:leftChars="-200" w:firstLine="422" w:firstLineChars="200"/>
        <w:outlineLvl w:val="9"/>
        <w:rPr>
          <w:rFonts w:hint="eastAsia" w:hAnsi="黑体" w:cs="黑体"/>
          <w:b/>
          <w:bCs/>
          <w:lang w:val="en-US" w:eastAsia="zh-CN"/>
        </w:rPr>
      </w:pPr>
      <w:r>
        <w:rPr>
          <w:rFonts w:hint="eastAsia" w:hAnsi="黑体" w:cs="黑体"/>
          <w:b/>
          <w:bCs/>
          <w:lang w:val="en-US" w:eastAsia="zh-CN"/>
        </w:rPr>
        <w:t>6.3 政策衔接</w:t>
      </w:r>
    </w:p>
    <w:p w14:paraId="722BCD16">
      <w:pPr>
        <w:pStyle w:val="18"/>
        <w:keepNext w:val="0"/>
        <w:keepLines w:val="0"/>
        <w:widowControl/>
        <w:suppressLineNumbers w:val="0"/>
        <w:spacing w:line="360" w:lineRule="auto"/>
        <w:ind w:firstLine="420" w:firstLineChars="200"/>
        <w:outlineLvl w:val="9"/>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标准实施应与现行法律法规及慢病防治、基本公共卫生、家庭医生签约、分级诊疗、医保支付等政策衔接。</w:t>
      </w:r>
    </w:p>
    <w:p w14:paraId="49A44B98">
      <w:pPr>
        <w:pStyle w:val="64"/>
        <w:numPr>
          <w:ilvl w:val="1"/>
          <w:numId w:val="0"/>
        </w:numPr>
        <w:spacing w:before="240" w:after="240" w:line="360" w:lineRule="auto"/>
        <w:ind w:left="-420" w:leftChars="-200" w:firstLine="422" w:firstLineChars="200"/>
        <w:rPr>
          <w:rFonts w:hint="eastAsia" w:hAnsi="黑体" w:cs="黑体"/>
          <w:b/>
          <w:bCs/>
          <w:lang w:val="en-US" w:eastAsia="zh-CN"/>
        </w:rPr>
      </w:pPr>
      <w:bookmarkStart w:id="34" w:name="_Toc4207"/>
      <w:r>
        <w:rPr>
          <w:rFonts w:hint="eastAsia" w:hAnsi="黑体" w:cs="黑体"/>
          <w:b/>
          <w:bCs/>
          <w:lang w:val="en-US" w:eastAsia="zh-CN"/>
        </w:rPr>
        <w:t>7</w:t>
      </w:r>
      <w:r>
        <w:rPr>
          <w:rFonts w:hint="eastAsia" w:hAnsi="黑体" w:cs="黑体"/>
          <w:b/>
          <w:bCs/>
        </w:rPr>
        <w:t xml:space="preserve"> </w:t>
      </w:r>
      <w:r>
        <w:rPr>
          <w:rFonts w:hint="eastAsia" w:hAnsi="黑体" w:cs="黑体"/>
          <w:b/>
          <w:bCs/>
          <w:lang w:val="en-US" w:eastAsia="zh-CN"/>
        </w:rPr>
        <w:t>服务衔接流程</w:t>
      </w:r>
      <w:bookmarkEnd w:id="34"/>
    </w:p>
    <w:p w14:paraId="5B0DAB3A">
      <w:pPr>
        <w:pStyle w:val="59"/>
        <w:spacing w:line="360" w:lineRule="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本标准的服务衔接流程</w:t>
      </w:r>
      <w:r>
        <w:rPr>
          <w:rFonts w:hint="eastAsia" w:ascii="Times New Roman" w:cs="Times New Roman"/>
          <w:kern w:val="0"/>
          <w:sz w:val="21"/>
          <w:szCs w:val="20"/>
          <w:lang w:val="en-US" w:eastAsia="zh-CN" w:bidi="ar-SA"/>
        </w:rPr>
        <w:t>要划清</w:t>
      </w:r>
      <w:r>
        <w:rPr>
          <w:rFonts w:hint="eastAsia" w:ascii="Times New Roman" w:hAnsi="Times New Roman" w:eastAsia="宋体" w:cs="Times New Roman"/>
          <w:kern w:val="0"/>
          <w:sz w:val="21"/>
          <w:szCs w:val="20"/>
          <w:lang w:val="en-US" w:eastAsia="zh-CN" w:bidi="ar-SA"/>
        </w:rPr>
        <w:t>服务主体及职责</w:t>
      </w:r>
      <w:r>
        <w:rPr>
          <w:rFonts w:hint="eastAsia" w:ascii="Times New Roman" w:cs="Times New Roman"/>
          <w:kern w:val="0"/>
          <w:sz w:val="21"/>
          <w:szCs w:val="20"/>
          <w:lang w:val="en-US" w:eastAsia="zh-CN" w:bidi="ar-SA"/>
        </w:rPr>
        <w:t>，明确</w:t>
      </w:r>
      <w:r>
        <w:rPr>
          <w:rFonts w:hint="eastAsia" w:ascii="Times New Roman" w:hAnsi="Times New Roman" w:eastAsia="宋体" w:cs="Times New Roman"/>
          <w:kern w:val="0"/>
          <w:sz w:val="21"/>
          <w:szCs w:val="20"/>
          <w:lang w:val="en-US" w:eastAsia="zh-CN" w:bidi="ar-SA"/>
        </w:rPr>
        <w:t>全流程衔接路径</w:t>
      </w:r>
      <w:r>
        <w:rPr>
          <w:rFonts w:hint="eastAsia" w:ascii="Times New Roman" w:cs="Times New Roman"/>
          <w:kern w:val="0"/>
          <w:sz w:val="21"/>
          <w:szCs w:val="20"/>
          <w:lang w:val="en-US" w:eastAsia="zh-CN" w:bidi="ar-SA"/>
        </w:rPr>
        <w:t>与</w:t>
      </w:r>
      <w:r>
        <w:rPr>
          <w:rFonts w:hint="eastAsia" w:ascii="Times New Roman" w:hAnsi="Times New Roman" w:eastAsia="宋体" w:cs="Times New Roman"/>
          <w:kern w:val="0"/>
          <w:sz w:val="21"/>
          <w:szCs w:val="20"/>
          <w:lang w:val="en-US" w:eastAsia="zh-CN" w:bidi="ar-SA"/>
        </w:rPr>
        <w:t>关键衔接机制</w:t>
      </w:r>
      <w:r>
        <w:rPr>
          <w:rFonts w:hint="eastAsia" w:ascii="Times New Roman" w:cs="Times New Roman"/>
          <w:kern w:val="0"/>
          <w:sz w:val="21"/>
          <w:szCs w:val="20"/>
          <w:lang w:val="en-US" w:eastAsia="zh-CN" w:bidi="ar-SA"/>
        </w:rPr>
        <w:t>，形成</w:t>
      </w:r>
      <w:r>
        <w:rPr>
          <w:rFonts w:hint="eastAsia" w:ascii="Times New Roman" w:hAnsi="Times New Roman" w:eastAsia="宋体" w:cs="Times New Roman"/>
          <w:kern w:val="0"/>
          <w:sz w:val="21"/>
          <w:szCs w:val="20"/>
          <w:lang w:val="en-US" w:eastAsia="zh-CN" w:bidi="ar-SA"/>
        </w:rPr>
        <w:t>闭环保障。</w:t>
      </w:r>
    </w:p>
    <w:p w14:paraId="42F3BF1E">
      <w:pPr>
        <w:pStyle w:val="64"/>
        <w:numPr>
          <w:ilvl w:val="1"/>
          <w:numId w:val="0"/>
        </w:numPr>
        <w:spacing w:before="240" w:after="240" w:line="360" w:lineRule="auto"/>
        <w:ind w:left="-420" w:leftChars="-200" w:firstLine="422" w:firstLineChars="200"/>
        <w:rPr>
          <w:rFonts w:hint="eastAsia" w:hAnsi="黑体" w:cs="黑体"/>
          <w:b/>
          <w:bCs/>
          <w:lang w:val="en-US" w:eastAsia="zh-CN"/>
        </w:rPr>
      </w:pPr>
      <w:bookmarkStart w:id="35" w:name="_Toc13120"/>
      <w:r>
        <w:rPr>
          <w:rFonts w:hint="eastAsia" w:hAnsi="黑体" w:cs="黑体"/>
          <w:b/>
          <w:bCs/>
          <w:lang w:val="en-US" w:eastAsia="zh-CN"/>
        </w:rPr>
        <w:t>8</w:t>
      </w:r>
      <w:r>
        <w:rPr>
          <w:rFonts w:hint="eastAsia" w:hAnsi="黑体" w:cs="黑体"/>
          <w:b/>
          <w:bCs/>
        </w:rPr>
        <w:t xml:space="preserve"> </w:t>
      </w:r>
      <w:r>
        <w:rPr>
          <w:rFonts w:hint="eastAsia" w:hAnsi="黑体" w:cs="黑体"/>
          <w:b/>
          <w:bCs/>
          <w:lang w:val="en-US" w:eastAsia="zh-CN"/>
        </w:rPr>
        <w:t>质量控制</w:t>
      </w:r>
      <w:bookmarkEnd w:id="35"/>
    </w:p>
    <w:p w14:paraId="410BF586">
      <w:pPr>
        <w:pStyle w:val="18"/>
        <w:keepNext w:val="0"/>
        <w:keepLines w:val="0"/>
        <w:widowControl/>
        <w:suppressLineNumbers w:val="0"/>
        <w:spacing w:line="360" w:lineRule="auto"/>
        <w:ind w:left="422" w:hanging="422" w:hangingChars="200"/>
        <w:rPr>
          <w:rFonts w:hint="eastAsia" w:ascii="黑体" w:hAnsi="黑体" w:eastAsia="黑体" w:cs="黑体"/>
          <w:b/>
          <w:bCs/>
          <w:kern w:val="0"/>
          <w:sz w:val="21"/>
          <w:szCs w:val="20"/>
          <w:lang w:val="en-US" w:eastAsia="zh-CN" w:bidi="ar-SA"/>
        </w:rPr>
      </w:pPr>
      <w:r>
        <w:rPr>
          <w:rFonts w:hint="eastAsia" w:ascii="黑体" w:hAnsi="黑体" w:eastAsia="黑体" w:cs="黑体"/>
          <w:b/>
          <w:bCs/>
          <w:kern w:val="0"/>
          <w:sz w:val="21"/>
          <w:szCs w:val="20"/>
          <w:lang w:val="en-US" w:eastAsia="zh-CN" w:bidi="ar-SA"/>
        </w:rPr>
        <w:t>8.1 指标监测</w:t>
      </w:r>
    </w:p>
    <w:p w14:paraId="474ECA40">
      <w:pPr>
        <w:pStyle w:val="59"/>
        <w:spacing w:line="360" w:lineRule="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质量控制应以关键指标持续监测为基础，重点关注</w:t>
      </w:r>
      <w:r>
        <w:rPr>
          <w:rFonts w:hint="eastAsia" w:ascii="Times New Roman" w:cs="Times New Roman"/>
          <w:kern w:val="0"/>
          <w:sz w:val="21"/>
          <w:szCs w:val="20"/>
          <w:lang w:val="en-US" w:eastAsia="zh-CN" w:bidi="ar-SA"/>
        </w:rPr>
        <w:t>服务覆盖率和</w:t>
      </w:r>
      <w:r>
        <w:rPr>
          <w:rFonts w:hint="eastAsia" w:ascii="Times New Roman" w:hAnsi="Times New Roman" w:eastAsia="宋体" w:cs="Times New Roman"/>
          <w:kern w:val="0"/>
          <w:sz w:val="21"/>
          <w:szCs w:val="20"/>
          <w:lang w:val="en-US" w:eastAsia="zh-CN" w:bidi="ar-SA"/>
        </w:rPr>
        <w:t>患者满意度。</w:t>
      </w:r>
      <w:r>
        <w:rPr>
          <w:rFonts w:hint="eastAsia" w:ascii="Times New Roman" w:cs="Times New Roman"/>
          <w:kern w:val="0"/>
          <w:sz w:val="21"/>
          <w:szCs w:val="20"/>
          <w:lang w:val="en-US" w:eastAsia="zh-CN" w:bidi="ar-SA"/>
        </w:rPr>
        <w:t>服务</w:t>
      </w:r>
      <w:r>
        <w:rPr>
          <w:rFonts w:hint="eastAsia" w:ascii="Times New Roman" w:hAnsi="Times New Roman" w:eastAsia="宋体" w:cs="Times New Roman"/>
          <w:kern w:val="0"/>
          <w:sz w:val="21"/>
          <w:szCs w:val="20"/>
          <w:lang w:val="en-US" w:eastAsia="zh-CN" w:bidi="ar-SA"/>
        </w:rPr>
        <w:t>覆盖率用于反映目标人群接受服务的实际程度，患者满意度用于评价服务体验。</w:t>
      </w:r>
    </w:p>
    <w:p w14:paraId="7714E143">
      <w:pPr>
        <w:pStyle w:val="18"/>
        <w:keepNext w:val="0"/>
        <w:keepLines w:val="0"/>
        <w:widowControl/>
        <w:suppressLineNumbers w:val="0"/>
        <w:spacing w:line="360" w:lineRule="auto"/>
        <w:ind w:left="422" w:hanging="422" w:hangingChars="200"/>
        <w:rPr>
          <w:rFonts w:hint="eastAsia" w:ascii="黑体" w:hAnsi="黑体" w:eastAsia="黑体" w:cs="黑体"/>
          <w:b/>
          <w:bCs/>
          <w:kern w:val="0"/>
          <w:sz w:val="21"/>
          <w:szCs w:val="20"/>
          <w:lang w:val="en-US" w:eastAsia="zh-CN" w:bidi="ar-SA"/>
        </w:rPr>
      </w:pPr>
      <w:r>
        <w:rPr>
          <w:rFonts w:hint="eastAsia" w:ascii="黑体" w:hAnsi="黑体" w:eastAsia="黑体" w:cs="黑体"/>
          <w:b/>
          <w:bCs/>
          <w:kern w:val="0"/>
          <w:sz w:val="21"/>
          <w:szCs w:val="20"/>
          <w:lang w:val="en-US" w:eastAsia="zh-CN" w:bidi="ar-SA"/>
        </w:rPr>
        <w:t>8.2 督导机制</w:t>
      </w:r>
    </w:p>
    <w:p w14:paraId="5E36F6FA">
      <w:pPr>
        <w:pStyle w:val="59"/>
        <w:spacing w:line="360" w:lineRule="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应建立常态化督导制度，牵头单位每年度对一定比例机构开展抽查，原则上不少于10%。督导可围绕服务流程执行、记录管理、转诊衔接与质量改进等方面开展，对发现的问题形成清单并明确整改要求。对整改事项实行限期整改与复核，促进服务规范化运行。</w:t>
      </w:r>
    </w:p>
    <w:p w14:paraId="1F14994E">
      <w:pPr>
        <w:rPr>
          <w:rFonts w:hint="eastAsia" w:ascii="黑体" w:hAnsi="黑体" w:eastAsia="黑体" w:cs="黑体"/>
          <w:szCs w:val="24"/>
        </w:rPr>
      </w:pPr>
    </w:p>
    <w:p w14:paraId="706C367E">
      <w:pPr>
        <w:rPr>
          <w:rFonts w:hint="eastAsia" w:ascii="黑体" w:hAnsi="黑体" w:eastAsia="黑体" w:cs="黑体"/>
          <w:szCs w:val="24"/>
        </w:rPr>
      </w:pPr>
    </w:p>
    <w:p w14:paraId="4684A9EC">
      <w:pPr>
        <w:rPr>
          <w:rFonts w:hint="eastAsia" w:ascii="黑体" w:hAnsi="黑体" w:eastAsia="黑体" w:cs="黑体"/>
          <w:szCs w:val="24"/>
        </w:rPr>
      </w:pPr>
    </w:p>
    <w:p w14:paraId="06E0C273">
      <w:pPr>
        <w:rPr>
          <w:rFonts w:hint="eastAsia" w:ascii="黑体" w:hAnsi="黑体" w:eastAsia="黑体" w:cs="黑体"/>
          <w:szCs w:val="24"/>
        </w:rPr>
      </w:pPr>
    </w:p>
    <w:p w14:paraId="1605CF88">
      <w:pPr>
        <w:rPr>
          <w:rFonts w:hint="eastAsia" w:ascii="黑体" w:hAnsi="黑体" w:eastAsia="黑体" w:cs="黑体"/>
          <w:szCs w:val="24"/>
        </w:rPr>
      </w:pPr>
    </w:p>
    <w:p w14:paraId="023E8718">
      <w:pPr>
        <w:rPr>
          <w:rFonts w:hint="eastAsia" w:ascii="黑体" w:hAnsi="黑体" w:eastAsia="黑体" w:cs="黑体"/>
          <w:szCs w:val="24"/>
        </w:rPr>
      </w:pPr>
    </w:p>
    <w:p w14:paraId="4649B2BB">
      <w:pPr>
        <w:rPr>
          <w:rFonts w:hint="eastAsia" w:ascii="黑体" w:hAnsi="黑体" w:eastAsia="黑体" w:cs="黑体"/>
          <w:szCs w:val="24"/>
        </w:rPr>
      </w:pPr>
    </w:p>
    <w:p w14:paraId="7587F7E0">
      <w:pPr>
        <w:rPr>
          <w:rFonts w:hint="eastAsia" w:ascii="黑体" w:hAnsi="黑体" w:eastAsia="黑体" w:cs="黑体"/>
          <w:szCs w:val="24"/>
        </w:rPr>
      </w:pPr>
    </w:p>
    <w:p w14:paraId="078C264B">
      <w:pPr>
        <w:rPr>
          <w:rFonts w:hint="eastAsia" w:ascii="黑体" w:hAnsi="黑体" w:eastAsia="黑体" w:cs="黑体"/>
          <w:szCs w:val="24"/>
        </w:rPr>
      </w:pPr>
    </w:p>
    <w:p w14:paraId="16DD12DF">
      <w:pPr>
        <w:spacing w:before="68" w:line="220" w:lineRule="auto"/>
        <w:jc w:val="center"/>
        <w:outlineLvl w:val="0"/>
        <w:rPr>
          <w:rFonts w:hint="eastAsia" w:ascii="黑体" w:hAnsi="黑体" w:eastAsia="黑体" w:cs="黑体"/>
          <w:b/>
          <w:bCs/>
          <w:spacing w:val="-2"/>
        </w:rPr>
      </w:pPr>
      <w:bookmarkStart w:id="36" w:name="_Toc206164562"/>
      <w:bookmarkStart w:id="37" w:name="_Toc7786"/>
      <w:bookmarkStart w:id="38" w:name="_Toc32628"/>
      <w:r>
        <w:rPr>
          <w:rFonts w:hint="eastAsia" w:ascii="黑体" w:hAnsi="黑体" w:eastAsia="黑体" w:cs="黑体"/>
          <w:b/>
          <w:bCs/>
          <w:spacing w:val="-2"/>
        </w:rPr>
        <w:t>参考文献</w:t>
      </w:r>
      <w:bookmarkEnd w:id="36"/>
      <w:bookmarkEnd w:id="37"/>
      <w:bookmarkEnd w:id="38"/>
    </w:p>
    <w:p w14:paraId="0FE6E4CA">
      <w:pPr>
        <w:spacing w:before="68" w:line="220" w:lineRule="auto"/>
        <w:jc w:val="center"/>
        <w:outlineLvl w:val="0"/>
        <w:rPr>
          <w:rFonts w:ascii="Times New Roman" w:hAnsi="Times New Roman" w:eastAsia="Times New Roman"/>
          <w:color w:val="000000"/>
          <w:sz w:val="20"/>
          <w:szCs w:val="24"/>
        </w:rPr>
      </w:pPr>
    </w:p>
    <w:p w14:paraId="5D141D85">
      <w:pPr>
        <w:numPr>
          <w:ilvl w:val="0"/>
          <w:numId w:val="4"/>
        </w:numPr>
        <w:ind w:left="420" w:hanging="420"/>
        <w:rPr>
          <w:rFonts w:ascii="Times New Roman" w:hAnsi="Times New Roman" w:eastAsia="Times New Roman"/>
          <w:color w:val="000000"/>
          <w:sz w:val="20"/>
          <w:szCs w:val="24"/>
        </w:rPr>
      </w:pPr>
      <w:r>
        <w:rPr>
          <w:rFonts w:hint="eastAsia" w:ascii="Times New Roman" w:hAnsi="Times New Roman"/>
          <w:color w:val="000000"/>
          <w:sz w:val="20"/>
          <w:szCs w:val="24"/>
          <w:lang w:val="en-US" w:eastAsia="zh-CN"/>
        </w:rPr>
        <w:t>中华人民共和国国家发展和改革委员会. 《中国防治慢性病中长期规划（2017—2025年）》</w:t>
      </w:r>
      <w:r>
        <w:rPr>
          <w:rFonts w:ascii="Times New Roman" w:hAnsi="Times New Roman" w:eastAsia="Times New Roman"/>
          <w:color w:val="000000"/>
          <w:sz w:val="20"/>
          <w:szCs w:val="24"/>
        </w:rPr>
        <w:t>[Z]. 201</w:t>
      </w:r>
      <w:r>
        <w:rPr>
          <w:rFonts w:hint="eastAsia" w:ascii="Times New Roman" w:hAnsi="Times New Roman"/>
          <w:color w:val="000000"/>
          <w:sz w:val="20"/>
          <w:szCs w:val="24"/>
          <w:lang w:val="en-US" w:eastAsia="zh-CN"/>
        </w:rPr>
        <w:t>7.</w:t>
      </w:r>
    </w:p>
    <w:p w14:paraId="7ACAE851">
      <w:pPr>
        <w:ind w:left="420" w:hanging="420"/>
        <w:rPr>
          <w:rFonts w:hint="default" w:ascii="Times New Roman" w:hAnsi="Times New Roman" w:eastAsia="宋体"/>
          <w:color w:val="000000"/>
          <w:sz w:val="20"/>
          <w:szCs w:val="24"/>
          <w:lang w:val="en-US" w:eastAsia="zh-CN"/>
        </w:rPr>
      </w:pPr>
      <w:r>
        <w:rPr>
          <w:rFonts w:hint="eastAsia" w:ascii="Times New Roman" w:hAnsi="Times New Roman"/>
          <w:color w:val="000000"/>
          <w:sz w:val="20"/>
          <w:szCs w:val="24"/>
          <w:lang w:val="en-US" w:eastAsia="zh-CN"/>
        </w:rPr>
        <w:t>[2]中国老年学和老年医学学会. 老年冠心病慢病管理指南[J]. 中西医结合研究,2023,15(1):30-42. DOI:10.3969/j.issn.1674-4616.2023.01.006.</w:t>
      </w:r>
    </w:p>
    <w:p w14:paraId="67B2D70D">
      <w:pPr>
        <w:ind w:left="420" w:hanging="420"/>
        <w:rPr>
          <w:rFonts w:ascii="Times New Roman" w:hAnsi="Times New Roman" w:eastAsia="Times New Roman"/>
          <w:color w:val="000000"/>
          <w:sz w:val="20"/>
          <w:szCs w:val="24"/>
        </w:rPr>
      </w:pPr>
      <w:r>
        <w:rPr>
          <w:rFonts w:hint="eastAsia" w:ascii="Times New Roman" w:hAnsi="Times New Roman"/>
          <w:color w:val="000000"/>
          <w:sz w:val="20"/>
          <w:szCs w:val="24"/>
          <w:lang w:val="en-US" w:eastAsia="zh-CN"/>
        </w:rPr>
        <w:t>[3]</w:t>
      </w:r>
      <w:r>
        <w:rPr>
          <w:rFonts w:ascii="Times New Roman" w:hAnsi="Times New Roman" w:eastAsia="Times New Roman"/>
          <w:color w:val="000000"/>
          <w:sz w:val="20"/>
          <w:szCs w:val="24"/>
        </w:rPr>
        <w:t xml:space="preserve">World Health Organization. (2020). Health promotion and disease prevention. Retrieved from </w:t>
      </w:r>
      <w:r>
        <w:rPr>
          <w:rFonts w:ascii="Times New Roman" w:hAnsi="Times New Roman" w:eastAsia="Times New Roman"/>
          <w:color w:val="000000" w:themeColor="text1"/>
          <w:sz w:val="20"/>
          <w:szCs w:val="24"/>
          <w14:textFill>
            <w14:solidFill>
              <w14:schemeClr w14:val="tx1"/>
            </w14:solidFill>
          </w14:textFill>
        </w:rPr>
        <w:t>https://www.who.int/health-topics/health-promotion</w:t>
      </w:r>
    </w:p>
    <w:p w14:paraId="01C1D087">
      <w:pPr>
        <w:ind w:left="420" w:hanging="420"/>
        <w:rPr>
          <w:rFonts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4</w:t>
      </w:r>
      <w:r>
        <w:rPr>
          <w:rFonts w:ascii="Times New Roman" w:hAnsi="Times New Roman" w:eastAsia="Times New Roman"/>
          <w:color w:val="000000"/>
          <w:sz w:val="20"/>
          <w:szCs w:val="24"/>
        </w:rPr>
        <w:t>]国家卫生健康委员会.《关于推进分级诊疗制度建设的指导意见》[Z]. 2015.</w:t>
      </w:r>
      <w:r>
        <w:rPr>
          <w:rFonts w:hint="eastAsia" w:ascii="Times New Roman" w:hAnsi="Times New Roman" w:eastAsia="Times New Roman"/>
          <w:color w:val="000000"/>
          <w:sz w:val="20"/>
          <w:szCs w:val="24"/>
        </w:rPr>
        <w:t>（可参考）</w:t>
      </w:r>
    </w:p>
    <w:p w14:paraId="3A29A019">
      <w:pPr>
        <w:ind w:left="420" w:hanging="420"/>
        <w:rPr>
          <w:rFonts w:ascii="Times New Roman" w:hAnsi="Times New Roman" w:eastAsia="Times New Roman"/>
          <w:color w:val="000000"/>
          <w:sz w:val="20"/>
          <w:szCs w:val="24"/>
        </w:rPr>
      </w:pPr>
      <w:bookmarkStart w:id="39" w:name="_neb28004C96_7212_499A_8FAD_3B6A7883CD5C"/>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5</w:t>
      </w:r>
      <w:r>
        <w:rPr>
          <w:rFonts w:ascii="Times New Roman" w:hAnsi="Times New Roman" w:eastAsia="Times New Roman"/>
          <w:color w:val="000000"/>
          <w:sz w:val="20"/>
          <w:szCs w:val="24"/>
        </w:rPr>
        <w:t>]Bircher J, Kuruvilla S. Defining health by addressing individual, social, and environmental determinants:  new opportunities for health care and public health[J]. J Public Health Policy, 2014,35(3):363-386.</w:t>
      </w:r>
      <w:bookmarkEnd w:id="39"/>
    </w:p>
    <w:p w14:paraId="391F1A81">
      <w:pPr>
        <w:ind w:left="420" w:hanging="420"/>
        <w:rPr>
          <w:rFonts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6</w:t>
      </w:r>
      <w:r>
        <w:rPr>
          <w:rFonts w:ascii="Times New Roman" w:hAnsi="Times New Roman" w:eastAsia="Times New Roman"/>
          <w:color w:val="000000"/>
          <w:sz w:val="20"/>
          <w:szCs w:val="24"/>
        </w:rPr>
        <w:t>]World Health Organization. (2021). Rehabilitation 2030: A Call for Action. Geneva: WHO.</w:t>
      </w:r>
    </w:p>
    <w:p w14:paraId="16E34B3F">
      <w:pPr>
        <w:ind w:left="420" w:hanging="420"/>
        <w:rPr>
          <w:rFonts w:hint="eastAsia"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7</w:t>
      </w: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rPr>
        <w:t xml:space="preserve">中华医学会健康管理学分会,中华医学会心血管病学分会,中华医学会超声医学分会,等. 中国体检人群心血管病危险因素筛查与管理专家共识[J]. 中华健康管理学杂志,2015,9(6):398-412. </w:t>
      </w:r>
    </w:p>
    <w:p w14:paraId="2F6F375B">
      <w:pPr>
        <w:ind w:left="420" w:hanging="420"/>
        <w:rPr>
          <w:rFonts w:hint="eastAsia"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8</w:t>
      </w: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rPr>
        <w:t xml:space="preserve">朱长太,朱瑞芳,陆群峰,等. 慢性心血管疾病患者自我健康管理指南[J]. 中西医结合心脑血管病杂志,2025,23(17):2561-2577. </w:t>
      </w:r>
    </w:p>
    <w:p w14:paraId="3CA77EA4">
      <w:pPr>
        <w:ind w:left="420" w:hanging="420"/>
        <w:rPr>
          <w:rFonts w:hint="eastAsia"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9</w:t>
      </w: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rPr>
        <w:t xml:space="preserve">中国心血管病风险评估和管理指南编写联合委员会. 中国心血管病风险评估和管理指南[J]. 中国循环杂志,2019,34(1):4-28. </w:t>
      </w:r>
    </w:p>
    <w:p w14:paraId="11F2D641">
      <w:pPr>
        <w:ind w:left="420" w:hanging="420"/>
        <w:rPr>
          <w:rFonts w:hint="eastAsia" w:ascii="Times New Roman" w:hAnsi="Times New Roman" w:eastAsia="Times New Roman"/>
          <w:color w:val="000000"/>
          <w:sz w:val="20"/>
          <w:szCs w:val="24"/>
          <w:lang w:val="en-US" w:eastAsia="zh-CN"/>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10</w:t>
      </w:r>
      <w:r>
        <w:rPr>
          <w:rFonts w:ascii="Times New Roman" w:hAnsi="Times New Roman" w:eastAsia="Times New Roman"/>
          <w:color w:val="000000"/>
          <w:sz w:val="20"/>
          <w:szCs w:val="24"/>
        </w:rPr>
        <w:t>]</w:t>
      </w:r>
      <w:r>
        <w:rPr>
          <w:rFonts w:hint="default" w:ascii="Times New Roman" w:hAnsi="Times New Roman" w:eastAsia="Times New Roman"/>
          <w:color w:val="000000"/>
          <w:sz w:val="20"/>
          <w:szCs w:val="24"/>
        </w:rPr>
        <w:t>徐永健, 葛均波. 内科学</w:t>
      </w:r>
      <w:r>
        <w:rPr>
          <w:rFonts w:hint="default" w:ascii="Times New Roman" w:hAnsi="Times New Roman" w:eastAsia="Times New Roman"/>
          <w:color w:val="000000"/>
          <w:sz w:val="20"/>
          <w:szCs w:val="24"/>
          <w:lang w:val="en-US" w:eastAsia="zh-CN"/>
        </w:rPr>
        <w:t>（第</w:t>
      </w:r>
      <w:r>
        <w:rPr>
          <w:rFonts w:hint="eastAsia" w:ascii="Times New Roman" w:hAnsi="Times New Roman" w:eastAsia="Times New Roman"/>
          <w:color w:val="000000"/>
          <w:sz w:val="20"/>
          <w:szCs w:val="24"/>
          <w:lang w:val="en-US" w:eastAsia="zh-CN"/>
        </w:rPr>
        <w:t>八</w:t>
      </w:r>
      <w:r>
        <w:rPr>
          <w:rFonts w:hint="default" w:ascii="Times New Roman" w:hAnsi="Times New Roman" w:eastAsia="Times New Roman"/>
          <w:color w:val="000000"/>
          <w:sz w:val="20"/>
          <w:szCs w:val="24"/>
          <w:lang w:val="en-US" w:eastAsia="zh-CN"/>
        </w:rPr>
        <w:t>版）</w:t>
      </w:r>
      <w:r>
        <w:rPr>
          <w:rFonts w:hint="default" w:ascii="Times New Roman" w:hAnsi="Times New Roman" w:eastAsia="Times New Roman"/>
          <w:color w:val="000000"/>
          <w:sz w:val="20"/>
          <w:szCs w:val="24"/>
        </w:rPr>
        <w:t>[M].北京:人民卫生出版</w:t>
      </w:r>
      <w:r>
        <w:rPr>
          <w:rFonts w:hint="eastAsia" w:ascii="Times New Roman" w:hAnsi="Times New Roman" w:eastAsia="Times New Roman"/>
          <w:color w:val="000000"/>
          <w:sz w:val="20"/>
          <w:szCs w:val="24"/>
          <w:lang w:eastAsia="zh-CN"/>
        </w:rPr>
        <w:t>，</w:t>
      </w:r>
      <w:r>
        <w:rPr>
          <w:rFonts w:hint="eastAsia" w:ascii="Times New Roman" w:hAnsi="Times New Roman" w:eastAsia="Times New Roman"/>
          <w:color w:val="000000"/>
          <w:sz w:val="20"/>
          <w:szCs w:val="24"/>
          <w:lang w:val="en-US" w:eastAsia="zh-CN"/>
        </w:rPr>
        <w:t>2013</w:t>
      </w:r>
    </w:p>
    <w:p w14:paraId="4C5C92C5">
      <w:pPr>
        <w:ind w:left="420" w:hanging="420"/>
        <w:rPr>
          <w:rFonts w:hint="eastAsia" w:ascii="Times New Roman" w:hAnsi="Times New Roman" w:eastAsia="Times New Roman"/>
          <w:color w:val="000000"/>
          <w:sz w:val="20"/>
          <w:szCs w:val="24"/>
        </w:rPr>
      </w:pPr>
      <w:r>
        <w:rPr>
          <w:rFonts w:hint="eastAsia" w:ascii="Times New Roman" w:hAnsi="Times New Roman" w:eastAsia="Times New Roman"/>
          <w:color w:val="000000"/>
          <w:sz w:val="20"/>
          <w:szCs w:val="24"/>
        </w:rPr>
        <w:t>[</w:t>
      </w:r>
      <w:r>
        <w:rPr>
          <w:rFonts w:hint="eastAsia" w:ascii="Times New Roman" w:hAnsi="Times New Roman"/>
          <w:color w:val="000000"/>
          <w:sz w:val="20"/>
          <w:szCs w:val="24"/>
          <w:lang w:val="en-US" w:eastAsia="zh-CN"/>
        </w:rPr>
        <w:t>11</w:t>
      </w:r>
      <w:r>
        <w:rPr>
          <w:rFonts w:hint="eastAsia" w:ascii="Times New Roman" w:hAnsi="Times New Roman" w:eastAsia="Times New Roman"/>
          <w:color w:val="000000"/>
          <w:sz w:val="20"/>
          <w:szCs w:val="24"/>
        </w:rPr>
        <w:t>]中国高血压防治指南修订委员会,高血压联盟(中国),中国医疗保健国际交流促进会高血压病学分会,等.中国高血压防治指南(2024年修订版)[J].中华高血压杂志(中英文),2024,32(07):603-700.</w:t>
      </w:r>
    </w:p>
    <w:p w14:paraId="7DD4C5A6">
      <w:pPr>
        <w:ind w:left="420" w:hanging="420"/>
        <w:rPr>
          <w:rFonts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12</w:t>
      </w:r>
      <w:r>
        <w:rPr>
          <w:rFonts w:ascii="Times New Roman" w:hAnsi="Times New Roman" w:eastAsia="Times New Roman"/>
          <w:color w:val="000000"/>
          <w:sz w:val="20"/>
          <w:szCs w:val="24"/>
        </w:rPr>
        <w:t>]中国2型糖尿病防治指南（2020年版）（上）[J].中国实用内科杂志,2021,41(08):668-695.</w:t>
      </w:r>
    </w:p>
    <w:p w14:paraId="0AA35D4D">
      <w:pPr>
        <w:ind w:left="420" w:hanging="420"/>
        <w:rPr>
          <w:rFonts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13</w:t>
      </w:r>
      <w:r>
        <w:rPr>
          <w:rFonts w:ascii="Times New Roman" w:hAnsi="Times New Roman" w:eastAsia="Times New Roman"/>
          <w:color w:val="000000"/>
          <w:sz w:val="20"/>
          <w:szCs w:val="24"/>
        </w:rPr>
        <w:t>]中国2型糖尿病防治指南（2020年版）（下）[J].中国实用内科杂志,2021,41(09):757-784.</w:t>
      </w:r>
    </w:p>
    <w:p w14:paraId="2376F889">
      <w:pPr>
        <w:ind w:left="420" w:hanging="420"/>
        <w:rPr>
          <w:rFonts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14</w:t>
      </w:r>
      <w:r>
        <w:rPr>
          <w:rFonts w:ascii="Times New Roman" w:hAnsi="Times New Roman" w:eastAsia="Times New Roman"/>
          <w:color w:val="000000"/>
          <w:sz w:val="20"/>
          <w:szCs w:val="24"/>
        </w:rPr>
        <w:t>]尹经霞,余丽,蒲丹岚,等.《中国糖尿病防治指南(2024版)》解读[J].重庆医科大学学报,2025,50(05):557-564.</w:t>
      </w:r>
    </w:p>
    <w:p w14:paraId="5CE99DAC">
      <w:pPr>
        <w:ind w:left="420" w:hanging="420"/>
        <w:rPr>
          <w:rFonts w:hint="eastAsia" w:ascii="Times New Roman" w:hAnsi="Times New Roman" w:eastAsia="Times New Roman"/>
          <w:color w:val="000000"/>
          <w:sz w:val="20"/>
          <w:szCs w:val="24"/>
        </w:rPr>
      </w:pPr>
      <w:r>
        <w:rPr>
          <w:rFonts w:hint="eastAsia" w:ascii="Times New Roman" w:hAnsi="Times New Roman" w:eastAsia="Times New Roman"/>
          <w:color w:val="000000"/>
          <w:sz w:val="20"/>
          <w:szCs w:val="24"/>
        </w:rPr>
        <w:t>[</w:t>
      </w:r>
      <w:r>
        <w:rPr>
          <w:rFonts w:hint="eastAsia" w:ascii="Times New Roman" w:hAnsi="Times New Roman"/>
          <w:color w:val="000000"/>
          <w:sz w:val="20"/>
          <w:szCs w:val="24"/>
          <w:lang w:val="en-US" w:eastAsia="zh-CN"/>
        </w:rPr>
        <w:t>15</w:t>
      </w:r>
      <w:r>
        <w:rPr>
          <w:rFonts w:hint="eastAsia" w:ascii="Times New Roman" w:hAnsi="Times New Roman" w:eastAsia="Times New Roman"/>
          <w:color w:val="000000"/>
          <w:sz w:val="20"/>
          <w:szCs w:val="24"/>
        </w:rPr>
        <w:t>]何权瀛.《中华医学会肺癌临床诊疗指南(2025版)》要点简介[J].临床内科杂志,2025,42(11):900-901.</w:t>
      </w:r>
    </w:p>
    <w:p w14:paraId="06AB8FA2">
      <w:pPr>
        <w:ind w:left="420" w:hanging="420"/>
        <w:rPr>
          <w:rFonts w:ascii="Times New Roman" w:hAnsi="Times New Roman" w:eastAsia="Times New Roman"/>
          <w:color w:val="000000"/>
          <w:sz w:val="20"/>
          <w:szCs w:val="24"/>
        </w:rPr>
      </w:pPr>
      <w:r>
        <w:rPr>
          <w:rFonts w:hint="eastAsia" w:ascii="Times New Roman" w:hAnsi="Times New Roman" w:eastAsia="Times New Roman"/>
          <w:color w:val="000000"/>
          <w:sz w:val="20"/>
          <w:szCs w:val="24"/>
        </w:rPr>
        <w:t>[</w:t>
      </w:r>
      <w:r>
        <w:rPr>
          <w:rFonts w:hint="eastAsia" w:ascii="Times New Roman" w:hAnsi="Times New Roman"/>
          <w:color w:val="000000"/>
          <w:sz w:val="20"/>
          <w:szCs w:val="24"/>
          <w:lang w:val="en-US" w:eastAsia="zh-CN"/>
        </w:rPr>
        <w:t>16</w:t>
      </w:r>
      <w:r>
        <w:rPr>
          <w:rFonts w:hint="eastAsia" w:ascii="Times New Roman" w:hAnsi="Times New Roman" w:eastAsia="Times New Roman"/>
          <w:color w:val="000000"/>
          <w:sz w:val="20"/>
          <w:szCs w:val="24"/>
        </w:rPr>
        <w:t>]</w:t>
      </w:r>
      <w:r>
        <w:rPr>
          <w:rFonts w:ascii="Times New Roman" w:hAnsi="Times New Roman" w:eastAsia="Times New Roman"/>
          <w:color w:val="000000"/>
          <w:sz w:val="20"/>
          <w:szCs w:val="24"/>
        </w:rPr>
        <w:t>国家卫生健康委员会. 国家基本公共卫生服务规范（第三版）[M]. 北京：人民卫生出版社，2017.</w:t>
      </w:r>
    </w:p>
    <w:p w14:paraId="2FA7EC2C">
      <w:pPr>
        <w:ind w:left="420" w:hanging="420"/>
        <w:rPr>
          <w:rFonts w:hint="eastAsia"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17</w:t>
      </w: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rPr>
        <w:t xml:space="preserve">中华医学会,中华医学会杂志社,中华医学会全科医学分会,等. 慢性阻塞性肺疾病基层诊疗指南(2018年)[J]. 中华全科医师杂志,2018,17(11):856-870. </w:t>
      </w:r>
    </w:p>
    <w:p w14:paraId="771BA8BB">
      <w:pPr>
        <w:ind w:left="420" w:hanging="420"/>
        <w:rPr>
          <w:rFonts w:hint="eastAsia"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lang w:val="en-US" w:eastAsia="zh-CN"/>
        </w:rPr>
        <w:t>18</w:t>
      </w: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rPr>
        <w:t xml:space="preserve">中华医学会,中华医学会杂志社,中华医学会全科医学分会,等. 中国慢性阻塞性肺疾病基层诊疗与管理指南（2024年）[J]. 中华全科医师杂志,2024,23(6):578-602. </w:t>
      </w:r>
    </w:p>
    <w:p w14:paraId="4E5D7A73">
      <w:pPr>
        <w:ind w:left="420" w:hanging="420"/>
        <w:rPr>
          <w:rFonts w:hint="eastAsia"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lang w:val="en-US" w:eastAsia="zh-CN"/>
        </w:rPr>
        <w:t>19</w:t>
      </w: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rPr>
        <w:t>慢性阻塞性肺疾病中医肺康复指南:T/CACM 1345-2020[S]. 2020.</w:t>
      </w:r>
    </w:p>
    <w:p w14:paraId="4BE1E300">
      <w:pPr>
        <w:ind w:left="420" w:hanging="420"/>
        <w:rPr>
          <w:rFonts w:hint="eastAsia"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20</w:t>
      </w:r>
      <w:r>
        <w:rPr>
          <w:rFonts w:ascii="Times New Roman" w:hAnsi="Times New Roman" w:eastAsia="Times New Roman"/>
          <w:color w:val="000000"/>
          <w:sz w:val="20"/>
          <w:szCs w:val="24"/>
        </w:rPr>
        <w:t>]</w:t>
      </w:r>
      <w:r>
        <w:rPr>
          <w:rFonts w:hint="eastAsia" w:ascii="Times New Roman" w:hAnsi="Times New Roman" w:eastAsia="Times New Roman"/>
          <w:color w:val="000000"/>
          <w:sz w:val="20"/>
          <w:szCs w:val="24"/>
        </w:rPr>
        <w:t>世界中医药学会联合会肺康复专业委员会. 慢性阻塞性肺疾病中医康复指南[J]. 世界中医药,2020,15(23):3710-3718.</w:t>
      </w:r>
    </w:p>
    <w:p w14:paraId="55C0378B">
      <w:pPr>
        <w:ind w:left="420" w:hanging="420"/>
        <w:rPr>
          <w:rFonts w:hint="default" w:ascii="Times New Roman" w:hAnsi="Times New Roman" w:eastAsia="Times New Roman"/>
          <w:color w:val="000000"/>
          <w:sz w:val="20"/>
          <w:szCs w:val="24"/>
        </w:rPr>
      </w:pPr>
      <w:r>
        <w:rPr>
          <w:rFonts w:ascii="Times New Roman" w:hAnsi="Times New Roman" w:eastAsia="Times New Roman"/>
          <w:color w:val="000000"/>
          <w:sz w:val="20"/>
          <w:szCs w:val="24"/>
        </w:rPr>
        <w:t>[</w:t>
      </w:r>
      <w:r>
        <w:rPr>
          <w:rFonts w:hint="eastAsia" w:ascii="Times New Roman" w:hAnsi="Times New Roman"/>
          <w:color w:val="000000"/>
          <w:sz w:val="20"/>
          <w:szCs w:val="24"/>
          <w:lang w:val="en-US" w:eastAsia="zh-CN"/>
        </w:rPr>
        <w:t>21</w:t>
      </w:r>
      <w:r>
        <w:rPr>
          <w:rFonts w:ascii="Times New Roman" w:hAnsi="Times New Roman" w:eastAsia="Times New Roman"/>
          <w:color w:val="000000"/>
          <w:sz w:val="20"/>
          <w:szCs w:val="24"/>
        </w:rPr>
        <w:t>]</w:t>
      </w:r>
      <w:r>
        <w:rPr>
          <w:rFonts w:hint="default" w:ascii="Times New Roman" w:hAnsi="Times New Roman" w:eastAsia="Times New Roman"/>
          <w:color w:val="000000"/>
          <w:sz w:val="20"/>
          <w:szCs w:val="24"/>
          <w:lang w:val="en-US" w:eastAsia="zh-CN"/>
        </w:rPr>
        <w:t>李小寒，尚少梅</w:t>
      </w:r>
      <w:r>
        <w:rPr>
          <w:rFonts w:hint="default" w:ascii="Times New Roman" w:hAnsi="Times New Roman" w:eastAsia="Times New Roman"/>
          <w:color w:val="000000"/>
          <w:sz w:val="20"/>
          <w:szCs w:val="24"/>
        </w:rPr>
        <w:t>.</w:t>
      </w:r>
      <w:r>
        <w:rPr>
          <w:rFonts w:hint="default" w:ascii="Times New Roman" w:hAnsi="Times New Roman" w:eastAsia="Times New Roman"/>
          <w:color w:val="000000"/>
          <w:sz w:val="20"/>
          <w:szCs w:val="24"/>
          <w:lang w:val="en-US" w:eastAsia="zh-CN"/>
        </w:rPr>
        <w:t>基础护理学（第七版）</w:t>
      </w:r>
      <w:r>
        <w:rPr>
          <w:rFonts w:hint="default" w:ascii="Times New Roman" w:hAnsi="Times New Roman" w:eastAsia="Times New Roman"/>
          <w:color w:val="000000"/>
          <w:sz w:val="20"/>
          <w:szCs w:val="24"/>
        </w:rPr>
        <w:t>[M].北京：</w:t>
      </w:r>
      <w:r>
        <w:rPr>
          <w:rFonts w:hint="default" w:ascii="Times New Roman" w:hAnsi="Times New Roman" w:eastAsia="Times New Roman"/>
          <w:color w:val="000000"/>
          <w:sz w:val="20"/>
          <w:szCs w:val="24"/>
          <w:lang w:val="en-US" w:eastAsia="zh-CN"/>
        </w:rPr>
        <w:t>人民卫生出版社</w:t>
      </w:r>
      <w:r>
        <w:rPr>
          <w:rFonts w:hint="default" w:ascii="Times New Roman" w:hAnsi="Times New Roman" w:eastAsia="Times New Roman"/>
          <w:color w:val="000000"/>
          <w:sz w:val="20"/>
          <w:szCs w:val="24"/>
        </w:rPr>
        <w:t>，20</w:t>
      </w:r>
      <w:r>
        <w:rPr>
          <w:rFonts w:hint="default" w:ascii="Times New Roman" w:hAnsi="Times New Roman" w:eastAsia="Times New Roman"/>
          <w:color w:val="000000"/>
          <w:sz w:val="20"/>
          <w:szCs w:val="24"/>
          <w:lang w:val="en-US" w:eastAsia="zh-CN"/>
        </w:rPr>
        <w:t>22</w:t>
      </w:r>
      <w:r>
        <w:rPr>
          <w:rFonts w:hint="default" w:ascii="Times New Roman" w:hAnsi="Times New Roman" w:eastAsia="Times New Roman"/>
          <w:color w:val="000000"/>
          <w:sz w:val="20"/>
          <w:szCs w:val="24"/>
        </w:rPr>
        <w:t>：</w:t>
      </w:r>
      <w:r>
        <w:rPr>
          <w:rFonts w:hint="default" w:ascii="Times New Roman" w:hAnsi="Times New Roman" w:eastAsia="Times New Roman"/>
          <w:color w:val="000000"/>
          <w:sz w:val="20"/>
          <w:szCs w:val="24"/>
          <w:lang w:val="en-US" w:eastAsia="zh-CN"/>
        </w:rPr>
        <w:t>16</w:t>
      </w:r>
      <w:r>
        <w:rPr>
          <w:rFonts w:hint="default" w:ascii="Times New Roman" w:hAnsi="Times New Roman" w:eastAsia="Times New Roman"/>
          <w:color w:val="000000"/>
          <w:sz w:val="20"/>
          <w:szCs w:val="24"/>
        </w:rPr>
        <w:t>.</w:t>
      </w:r>
    </w:p>
    <w:tbl>
      <w:tblPr>
        <w:tblStyle w:val="21"/>
        <w:tblW w:w="0" w:type="auto"/>
        <w:tblInd w:w="102" w:type="dxa"/>
        <w:tblLayout w:type="fixed"/>
        <w:tblCellMar>
          <w:top w:w="0" w:type="dxa"/>
          <w:left w:w="108" w:type="dxa"/>
          <w:bottom w:w="0" w:type="dxa"/>
          <w:right w:w="108" w:type="dxa"/>
        </w:tblCellMar>
      </w:tblPr>
      <w:tblGrid>
        <w:gridCol w:w="3088"/>
        <w:gridCol w:w="3190"/>
        <w:gridCol w:w="3101"/>
      </w:tblGrid>
      <w:tr w14:paraId="06BC1790">
        <w:tblPrEx>
          <w:tblCellMar>
            <w:top w:w="0" w:type="dxa"/>
            <w:left w:w="108" w:type="dxa"/>
            <w:bottom w:w="0" w:type="dxa"/>
            <w:right w:w="108" w:type="dxa"/>
          </w:tblCellMar>
        </w:tblPrEx>
        <w:trPr>
          <w:trHeight w:val="464" w:hRule="atLeast"/>
        </w:trPr>
        <w:tc>
          <w:tcPr>
            <w:tcW w:w="3088" w:type="dxa"/>
            <w:tcBorders>
              <w:top w:val="nil"/>
              <w:left w:val="nil"/>
              <w:bottom w:val="nil"/>
              <w:right w:val="nil"/>
            </w:tcBorders>
          </w:tcPr>
          <w:p w14:paraId="4B07413A">
            <w:pPr>
              <w:pStyle w:val="82"/>
              <w:ind w:firstLine="420"/>
            </w:pPr>
          </w:p>
        </w:tc>
        <w:tc>
          <w:tcPr>
            <w:tcW w:w="3190" w:type="dxa"/>
            <w:tcBorders>
              <w:top w:val="nil"/>
              <w:left w:val="nil"/>
              <w:bottom w:val="single" w:color="auto" w:sz="4" w:space="0"/>
              <w:right w:val="nil"/>
            </w:tcBorders>
          </w:tcPr>
          <w:p w14:paraId="207E96B2">
            <w:pPr>
              <w:spacing w:line="240" w:lineRule="atLeast"/>
              <w:ind w:firstLine="420"/>
            </w:pPr>
          </w:p>
          <w:p w14:paraId="22B6D977">
            <w:pPr>
              <w:spacing w:line="240" w:lineRule="atLeast"/>
            </w:pPr>
          </w:p>
        </w:tc>
        <w:tc>
          <w:tcPr>
            <w:tcW w:w="3101" w:type="dxa"/>
            <w:tcBorders>
              <w:top w:val="nil"/>
              <w:left w:val="nil"/>
              <w:bottom w:val="nil"/>
              <w:right w:val="nil"/>
            </w:tcBorders>
          </w:tcPr>
          <w:p w14:paraId="63970D91">
            <w:pPr>
              <w:spacing w:line="240" w:lineRule="atLeast"/>
              <w:ind w:firstLine="420"/>
            </w:pPr>
          </w:p>
        </w:tc>
      </w:tr>
    </w:tbl>
    <w:p w14:paraId="3838F3D0"/>
    <w:p w14:paraId="28777371">
      <w:pPr>
        <w:ind w:left="420" w:hanging="420"/>
        <w:rPr>
          <w:rFonts w:hint="default" w:ascii="Times New Roman" w:hAnsi="Times New Roman" w:eastAsia="Times New Roman"/>
          <w:color w:val="000000"/>
          <w:sz w:val="20"/>
          <w:szCs w:val="24"/>
          <w:lang w:val="en-US" w:eastAsia="zh-CN"/>
        </w:rPr>
      </w:pPr>
    </w:p>
    <w:sectPr>
      <w:headerReference r:id="rId13" w:type="default"/>
      <w:headerReference r:id="rId14" w:type="even"/>
      <w:footerReference r:id="rId15" w:type="even"/>
      <w:pgSz w:w="11906" w:h="16838"/>
      <w:pgMar w:top="975" w:right="1452" w:bottom="907" w:left="1440" w:header="851" w:footer="992" w:gutter="0"/>
      <w:pgBorders>
        <w:top w:val="none" w:sz="0" w:space="0"/>
        <w:left w:val="none" w:sz="0" w:space="0"/>
        <w:bottom w:val="none" w:sz="0" w:space="0"/>
        <w:right w:val="none" w:sz="0" w:space="0"/>
      </w:pgBorders>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95470372"/>
    </w:sdtPr>
    <w:sdtContent>
      <w:p w14:paraId="66F99F7B">
        <w:pPr>
          <w:pStyle w:val="13"/>
          <w:spacing w:before="120" w:after="120"/>
          <w:jc w:val="right"/>
        </w:pPr>
        <w:r>
          <w:rPr>
            <w:rFonts w:hint="eastAsia"/>
          </w:rPr>
          <w:t>I</w:t>
        </w:r>
      </w:p>
    </w:sdtContent>
  </w:sdt>
  <w:p w14:paraId="04CA7BBC">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0051"/>
    </w:sdtPr>
    <w:sdtEndPr>
      <w:rPr>
        <w:rFonts w:ascii="宋体" w:hAnsi="宋体"/>
      </w:rPr>
    </w:sdtEndPr>
    <w:sdtContent>
      <w:p w14:paraId="4FA3D163">
        <w:pPr>
          <w:pStyle w:val="13"/>
          <w:spacing w:before="120" w:after="120"/>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w:t>
        </w:r>
        <w:r>
          <w:rPr>
            <w:rFonts w:ascii="宋体" w:hAnsi="宋体"/>
          </w:rPr>
          <w:fldChar w:fldCharType="end"/>
        </w:r>
      </w:p>
    </w:sdtContent>
  </w:sdt>
  <w:p w14:paraId="41ADBF44">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7580644"/>
    </w:sdtPr>
    <w:sdtEndPr>
      <w:rPr>
        <w:rFonts w:ascii="宋体" w:hAnsi="宋体"/>
      </w:rPr>
    </w:sdtEndPr>
    <w:sdtContent>
      <w:p w14:paraId="3945C812">
        <w:pPr>
          <w:pStyle w:val="13"/>
          <w:spacing w:before="120" w:after="120"/>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w:t>
        </w:r>
        <w:r>
          <w:rPr>
            <w:rFonts w:ascii="宋体" w:hAnsi="宋体"/>
          </w:rPr>
          <w:fldChar w:fldCharType="end"/>
        </w:r>
      </w:p>
    </w:sdtContent>
  </w:sdt>
  <w:p w14:paraId="4CE62C1C">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35D83">
    <w:pPr>
      <w:pStyle w:val="54"/>
      <w:tabs>
        <w:tab w:val="clear" w:pos="4154"/>
        <w:tab w:val="clear" w:pos="8306"/>
      </w:tabs>
      <w:adjustRightInd w:val="0"/>
      <w:snapToGrid w:val="0"/>
      <w:spacing w:after="0" w:line="288" w:lineRule="auto"/>
      <w:jc w:val="left"/>
      <w:rPr>
        <w:rFonts w:ascii="Century" w:hAnsi="Century"/>
      </w:rPr>
    </w:pPr>
  </w:p>
  <w:p w14:paraId="28260D8C">
    <w:pPr>
      <w:pStyle w:val="54"/>
      <w:tabs>
        <w:tab w:val="clear" w:pos="4154"/>
        <w:tab w:val="clear" w:pos="8306"/>
      </w:tabs>
      <w:adjustRightInd w:val="0"/>
      <w:snapToGrid w:val="0"/>
      <w:spacing w:after="0" w:line="288" w:lineRule="auto"/>
      <w:jc w:val="left"/>
      <w:rPr>
        <w:rFonts w:hint="eastAsia" w:ascii="黑体" w:hAnsi="黑体" w:eastAsia="黑体" w:cs="黑体"/>
        <w:sz w:val="32"/>
        <w:szCs w:val="28"/>
      </w:rPr>
    </w:pPr>
  </w:p>
  <w:p w14:paraId="21CD8B31">
    <w:pPr>
      <w:pStyle w:val="54"/>
      <w:tabs>
        <w:tab w:val="clear" w:pos="4154"/>
        <w:tab w:val="clear" w:pos="8306"/>
      </w:tabs>
      <w:adjustRightInd w:val="0"/>
      <w:snapToGrid w:val="0"/>
      <w:spacing w:after="0" w:line="288" w:lineRule="auto"/>
      <w:jc w:val="left"/>
      <w:rPr>
        <w:rFonts w:hint="eastAsia" w:ascii="黑体" w:hAnsi="黑体" w:eastAsia="黑体" w:cs="黑体"/>
        <w:sz w:val="32"/>
        <w:szCs w:val="28"/>
        <w:lang w:val="en-US" w:eastAsia="zh-CN"/>
      </w:rPr>
    </w:pPr>
    <w:r>
      <w:rPr>
        <w:rFonts w:hint="eastAsia" w:ascii="黑体" w:hAnsi="黑体" w:eastAsia="黑体" w:cs="黑体"/>
        <w:sz w:val="32"/>
        <w:szCs w:val="28"/>
        <w:lang w:val="en-US" w:eastAsia="zh-CN"/>
      </w:rPr>
      <w:t>附件7</w:t>
    </w:r>
  </w:p>
  <w:p w14:paraId="2F485865">
    <w:pPr>
      <w:pStyle w:val="54"/>
      <w:tabs>
        <w:tab w:val="clear" w:pos="4154"/>
        <w:tab w:val="clear" w:pos="8306"/>
      </w:tabs>
      <w:adjustRightInd w:val="0"/>
      <w:snapToGrid w:val="0"/>
      <w:spacing w:after="0" w:line="288" w:lineRule="auto"/>
      <w:jc w:val="left"/>
      <w:rPr>
        <w:rFonts w:ascii="Century" w:hAnsi="Century"/>
      </w:rPr>
    </w:pPr>
    <w:r>
      <w:rPr>
        <w:rFonts w:hint="eastAsia" w:ascii="Century" w:hAnsi="Century"/>
      </w:rPr>
      <w:t>ICS  11.020（普通医学科学综合）</w:t>
    </w:r>
  </w:p>
  <w:p w14:paraId="6DF17C1F">
    <w:pPr>
      <w:snapToGrid w:val="0"/>
      <w:spacing w:line="288" w:lineRule="auto"/>
      <w:jc w:val="left"/>
      <w:rPr>
        <w:rFonts w:ascii="Century" w:hAnsi="Century"/>
      </w:rPr>
    </w:pPr>
    <w:r>
      <w:rPr>
        <w:rFonts w:ascii="Century" w:hAnsi="Century"/>
      </w:rPr>
      <w:t xml:space="preserve">CCS </w:t>
    </w:r>
    <w:r>
      <w:rPr>
        <w:rFonts w:hint="eastAsia" w:ascii="Century" w:hAnsi="Century"/>
      </w:rPr>
      <w:t xml:space="preserve"> </w:t>
    </w:r>
    <w:r>
      <w:rPr>
        <w:rFonts w:hint="eastAsia" w:ascii="Century" w:hAnsi="Century" w:eastAsia="黑体"/>
        <w:kern w:val="0"/>
        <w:szCs w:val="20"/>
      </w:rPr>
      <w:t>C50（卫生综合）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F0383">
    <w:pPr>
      <w:pStyle w:val="54"/>
      <w:tabs>
        <w:tab w:val="clear" w:pos="4154"/>
        <w:tab w:val="clear" w:pos="8306"/>
      </w:tabs>
      <w:adjustRightInd w:val="0"/>
      <w:snapToGrid w:val="0"/>
      <w:spacing w:after="0"/>
      <w:rPr>
        <w:rFonts w:ascii="Century" w:hAnsi="Century"/>
      </w:rPr>
    </w:pPr>
  </w:p>
  <w:p w14:paraId="3B3D09ED">
    <w:pPr>
      <w:pStyle w:val="54"/>
      <w:tabs>
        <w:tab w:val="clear" w:pos="4154"/>
        <w:tab w:val="clear" w:pos="8306"/>
      </w:tabs>
      <w:adjustRightInd w:val="0"/>
      <w:snapToGrid w:val="0"/>
      <w:spacing w:after="0"/>
      <w:rPr>
        <w:rFonts w:ascii="Century" w:hAnsi="Century"/>
      </w:rPr>
    </w:pPr>
  </w:p>
  <w:p w14:paraId="70D73D3D">
    <w:pPr>
      <w:pStyle w:val="54"/>
      <w:tabs>
        <w:tab w:val="clear" w:pos="4154"/>
        <w:tab w:val="clear" w:pos="8306"/>
      </w:tabs>
      <w:adjustRightInd w:val="0"/>
      <w:snapToGrid w:val="0"/>
      <w:spacing w:after="0"/>
      <w:rPr>
        <w:rFonts w:ascii="Century" w:hAnsi="Century"/>
      </w:rPr>
    </w:pPr>
  </w:p>
  <w:p w14:paraId="3EF60100">
    <w:pPr>
      <w:pStyle w:val="54"/>
      <w:tabs>
        <w:tab w:val="clear" w:pos="4154"/>
        <w:tab w:val="clear" w:pos="8306"/>
      </w:tabs>
      <w:adjustRightInd w:val="0"/>
      <w:snapToGrid w:val="0"/>
      <w:spacing w:after="0"/>
      <w:rPr>
        <w:rFonts w:ascii="Century" w:hAnsi="Century"/>
      </w:rPr>
    </w:pPr>
  </w:p>
  <w:p w14:paraId="613D10C2">
    <w:pPr>
      <w:pStyle w:val="54"/>
      <w:tabs>
        <w:tab w:val="clear" w:pos="4154"/>
        <w:tab w:val="clear" w:pos="8306"/>
      </w:tabs>
      <w:adjustRightInd w:val="0"/>
      <w:snapToGrid w:val="0"/>
      <w:spacing w:after="0"/>
      <w:rPr>
        <w:rFonts w:hint="eastAsia"/>
      </w:rPr>
    </w:pPr>
    <w:r>
      <w:rPr>
        <w:rFonts w:ascii="Century" w:hAnsi="Century"/>
      </w:rPr>
      <w:t xml:space="preserve">T / </w:t>
    </w:r>
    <w:r>
      <w:rPr>
        <w:rFonts w:hint="eastAsia" w:ascii="Century" w:hAnsi="Century"/>
      </w:rPr>
      <w:t>CALC</w:t>
    </w:r>
    <w:r>
      <w:t xml:space="preserve"> XX-20XX</w:t>
    </w:r>
  </w:p>
  <w:p w14:paraId="2B585EBB">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058B7">
    <w:pPr>
      <w:widowControl/>
      <w:snapToGrid w:val="0"/>
      <w:spacing w:line="240" w:lineRule="auto"/>
      <w:jc w:val="right"/>
      <w:rPr>
        <w:rFonts w:hint="eastAsia" w:ascii="黑体" w:hAnsi="宋体" w:eastAsia="黑体"/>
        <w:kern w:val="0"/>
        <w:szCs w:val="20"/>
      </w:rPr>
    </w:pPr>
    <w:r>
      <w:rPr>
        <w:rFonts w:ascii="Century" w:hAnsi="Century" w:eastAsia="黑体"/>
        <w:kern w:val="0"/>
        <w:szCs w:val="20"/>
      </w:rPr>
      <w:t xml:space="preserve">T / </w:t>
    </w:r>
    <w:r>
      <w:rPr>
        <w:rFonts w:hint="eastAsia" w:ascii="Century" w:hAnsi="Century" w:eastAsia="黑体"/>
        <w:kern w:val="0"/>
        <w:szCs w:val="20"/>
      </w:rPr>
      <w:t>CALC</w:t>
    </w:r>
    <w:r>
      <w:rPr>
        <w:rFonts w:ascii="黑体" w:hAnsi="宋体" w:eastAsia="黑体"/>
        <w:kern w:val="0"/>
        <w:szCs w:val="20"/>
      </w:rPr>
      <w:t xml:space="preserve"> XX-20XX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6DBF9">
    <w:pPr>
      <w:pStyle w:val="54"/>
      <w:tabs>
        <w:tab w:val="clear" w:pos="4154"/>
        <w:tab w:val="clear" w:pos="8306"/>
      </w:tabs>
      <w:adjustRightInd w:val="0"/>
      <w:snapToGrid w:val="0"/>
      <w:spacing w:after="0"/>
      <w:rPr>
        <w:rFonts w:hint="eastAsia"/>
      </w:rPr>
    </w:pPr>
    <w:r>
      <w:rPr>
        <w:rFonts w:ascii="Century" w:hAnsi="Century"/>
      </w:rPr>
      <w:t xml:space="preserve">T / </w:t>
    </w:r>
    <w:r>
      <w:rPr>
        <w:rFonts w:hint="eastAsia" w:ascii="Century" w:hAnsi="Century"/>
      </w:rPr>
      <w:t>CALC</w:t>
    </w:r>
    <w:r>
      <w:t xml:space="preserve"> XX-20XX</w:t>
    </w:r>
  </w:p>
  <w:p w14:paraId="56C1A98F">
    <w:pPr>
      <w:pStyle w:val="1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5E25">
    <w:pPr>
      <w:pStyle w:val="54"/>
      <w:tabs>
        <w:tab w:val="clear" w:pos="4154"/>
        <w:tab w:val="clear" w:pos="8306"/>
      </w:tabs>
      <w:adjustRightInd w:val="0"/>
      <w:snapToGrid w:val="0"/>
      <w:spacing w:after="0"/>
      <w:jc w:val="left"/>
      <w:rPr>
        <w:rFonts w:hint="eastAsia"/>
      </w:rPr>
    </w:pPr>
    <w:r>
      <w:rPr>
        <w:rFonts w:ascii="Century" w:hAnsi="Century"/>
      </w:rPr>
      <w:t xml:space="preserve">T / </w:t>
    </w:r>
    <w:r>
      <w:rPr>
        <w:rFonts w:hint="eastAsia" w:ascii="Century" w:hAnsi="Century"/>
      </w:rPr>
      <w:t>CALC</w:t>
    </w:r>
    <w:r>
      <w:t xml:space="preserve"> XX-20XX</w:t>
    </w: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5115B">
    <w:pPr>
      <w:pStyle w:val="54"/>
      <w:tabs>
        <w:tab w:val="left" w:pos="8333"/>
        <w:tab w:val="right" w:pos="9014"/>
        <w:tab w:val="clear" w:pos="4154"/>
        <w:tab w:val="clear" w:pos="8306"/>
      </w:tabs>
      <w:adjustRightInd w:val="0"/>
      <w:snapToGrid w:val="0"/>
      <w:spacing w:after="0"/>
      <w:rPr>
        <w:rFonts w:hint="eastAsia"/>
      </w:rPr>
    </w:pPr>
    <w:r>
      <w:rPr>
        <w:rFonts w:ascii="Century" w:hAnsi="Century"/>
      </w:rPr>
      <w:t xml:space="preserve">T / </w:t>
    </w:r>
    <w:r>
      <w:rPr>
        <w:rFonts w:hint="eastAsia" w:ascii="Century" w:hAnsi="Century"/>
      </w:rPr>
      <w:t>CALC</w:t>
    </w:r>
    <w:r>
      <w:t xml:space="preserve"> XX-20XX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93F3">
    <w:pPr>
      <w:pStyle w:val="54"/>
      <w:tabs>
        <w:tab w:val="clear" w:pos="4154"/>
        <w:tab w:val="clear" w:pos="8306"/>
      </w:tabs>
      <w:adjustRightInd w:val="0"/>
      <w:snapToGrid w:val="0"/>
      <w:spacing w:after="0"/>
      <w:ind w:right="1680"/>
      <w:jc w:val="both"/>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D3AD8">
    <w:pPr>
      <w:pStyle w:val="54"/>
      <w:tabs>
        <w:tab w:val="clear" w:pos="4154"/>
        <w:tab w:val="clear" w:pos="8306"/>
      </w:tabs>
      <w:adjustRightInd w:val="0"/>
      <w:snapToGrid w:val="0"/>
      <w:spacing w:after="0"/>
      <w:ind w:right="840"/>
      <w:jc w:val="both"/>
      <w:rPr>
        <w:rFonts w:hint="eastAsia"/>
      </w:rPr>
    </w:pPr>
    <w:r>
      <w:rPr>
        <w:rFonts w:ascii="Century" w:hAnsi="Century"/>
      </w:rPr>
      <w:t xml:space="preserve">T / </w:t>
    </w:r>
    <w:r>
      <w:rPr>
        <w:rFonts w:hint="eastAsia" w:ascii="Century" w:hAnsi="Century"/>
      </w:rPr>
      <w:t>CALC</w:t>
    </w:r>
    <w:r>
      <w:t xml:space="preserve"> XX-20XX</w:t>
    </w:r>
  </w:p>
  <w:p w14:paraId="0D372A04">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48"/>
      <w:lvlText w:val="%1"/>
      <w:lvlJc w:val="left"/>
      <w:pPr>
        <w:ind w:left="425" w:hanging="425"/>
      </w:pPr>
      <w:rPr>
        <w:rFonts w:hint="eastAsia"/>
      </w:rPr>
    </w:lvl>
    <w:lvl w:ilvl="1" w:tentative="0">
      <w:start w:val="1"/>
      <w:numFmt w:val="decimal"/>
      <w:pStyle w:val="49"/>
      <w:suff w:val="nothing"/>
      <w:lvlText w:val="%10.%2 "/>
      <w:lvlJc w:val="left"/>
      <w:pPr>
        <w:ind w:left="0" w:firstLine="0"/>
      </w:pPr>
      <w:rPr>
        <w:rFonts w:hint="eastAsia" w:ascii="黑体" w:eastAsia="黑体" w:hAnsiTheme="minorHAnsi"/>
        <w:b w:val="0"/>
        <w:i w:val="0"/>
        <w:sz w:val="21"/>
      </w:rPr>
    </w:lvl>
    <w:lvl w:ilvl="2" w:tentative="0">
      <w:start w:val="1"/>
      <w:numFmt w:val="decimal"/>
      <w:pStyle w:val="50"/>
      <w:suff w:val="nothing"/>
      <w:lvlText w:val="%10.%2.%3 "/>
      <w:lvlJc w:val="left"/>
      <w:pPr>
        <w:ind w:left="0" w:firstLine="0"/>
      </w:pPr>
      <w:rPr>
        <w:rFonts w:hint="eastAsia" w:ascii="黑体" w:eastAsia="黑体" w:hAnsiTheme="minorHAnsi"/>
        <w:b w:val="0"/>
        <w:i w:val="0"/>
        <w:sz w:val="21"/>
      </w:rPr>
    </w:lvl>
    <w:lvl w:ilvl="3" w:tentative="0">
      <w:start w:val="1"/>
      <w:numFmt w:val="decimal"/>
      <w:pStyle w:val="51"/>
      <w:suff w:val="nothing"/>
      <w:lvlText w:val="%10.%2.%3.%4 "/>
      <w:lvlJc w:val="left"/>
      <w:pPr>
        <w:ind w:left="0" w:firstLine="0"/>
      </w:pPr>
      <w:rPr>
        <w:rFonts w:hint="eastAsia" w:ascii="黑体" w:eastAsia="黑体" w:hAnsiTheme="minorHAnsi"/>
        <w:b w:val="0"/>
        <w:i w:val="0"/>
        <w:sz w:val="21"/>
      </w:rPr>
    </w:lvl>
    <w:lvl w:ilvl="4" w:tentative="0">
      <w:start w:val="1"/>
      <w:numFmt w:val="decimal"/>
      <w:pStyle w:val="52"/>
      <w:suff w:val="nothing"/>
      <w:lvlText w:val="%10.%2.%3.%4.%5 "/>
      <w:lvlJc w:val="left"/>
      <w:pPr>
        <w:ind w:left="0" w:firstLine="0"/>
      </w:pPr>
      <w:rPr>
        <w:rFonts w:hint="eastAsia" w:ascii="黑体" w:eastAsia="黑体" w:hAnsiTheme="minorHAnsi"/>
        <w:b w:val="0"/>
        <w:i w:val="0"/>
        <w:sz w:val="21"/>
      </w:rPr>
    </w:lvl>
    <w:lvl w:ilvl="5" w:tentative="0">
      <w:start w:val="1"/>
      <w:numFmt w:val="decimal"/>
      <w:pStyle w:val="53"/>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240EB424"/>
    <w:multiLevelType w:val="singleLevel"/>
    <w:tmpl w:val="240EB424"/>
    <w:lvl w:ilvl="0" w:tentative="0">
      <w:start w:val="1"/>
      <w:numFmt w:val="decimal"/>
      <w:lvlText w:val="[%1]"/>
      <w:lvlJc w:val="left"/>
      <w:pPr>
        <w:tabs>
          <w:tab w:val="left" w:pos="312"/>
        </w:tabs>
      </w:pPr>
    </w:lvl>
  </w:abstractNum>
  <w:abstractNum w:abstractNumId="2">
    <w:nsid w:val="44C50F90"/>
    <w:multiLevelType w:val="multilevel"/>
    <w:tmpl w:val="44C50F90"/>
    <w:lvl w:ilvl="0" w:tentative="0">
      <w:start w:val="1"/>
      <w:numFmt w:val="lowerLetter"/>
      <w:pStyle w:val="73"/>
      <w:lvlText w:val="%1)"/>
      <w:lvlJc w:val="left"/>
      <w:pPr>
        <w:tabs>
          <w:tab w:val="left" w:pos="851"/>
        </w:tabs>
        <w:ind w:left="851" w:hanging="426"/>
      </w:pPr>
      <w:rPr>
        <w:rFonts w:hint="eastAsia" w:ascii="宋体" w:hAnsi="Times New Roman" w:eastAsia="宋体"/>
        <w:sz w:val="21"/>
      </w:rPr>
    </w:lvl>
    <w:lvl w:ilvl="1" w:tentative="0">
      <w:start w:val="1"/>
      <w:numFmt w:val="decimal"/>
      <w:pStyle w:val="71"/>
      <w:lvlText w:val="%2)"/>
      <w:lvlJc w:val="left"/>
      <w:pPr>
        <w:tabs>
          <w:tab w:val="left" w:pos="1276"/>
        </w:tabs>
        <w:ind w:left="1276" w:hanging="425"/>
      </w:pPr>
      <w:rPr>
        <w:rFonts w:hint="eastAsia" w:ascii="宋体" w:hAnsi="Times New Roman" w:eastAsia="宋体"/>
        <w:sz w:val="21"/>
      </w:rPr>
    </w:lvl>
    <w:lvl w:ilvl="2" w:tentative="0">
      <w:start w:val="1"/>
      <w:numFmt w:val="decimal"/>
      <w:pStyle w:val="7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52D9F8F4"/>
    <w:multiLevelType w:val="multilevel"/>
    <w:tmpl w:val="52D9F8F4"/>
    <w:lvl w:ilvl="0" w:tentative="0">
      <w:start w:val="1"/>
      <w:numFmt w:val="none"/>
      <w:pStyle w:val="66"/>
      <w:suff w:val="nothing"/>
      <w:lvlText w:val="%1"/>
      <w:lvlJc w:val="left"/>
      <w:pPr>
        <w:ind w:left="0" w:firstLine="0"/>
      </w:pPr>
      <w:rPr>
        <w:rFonts w:hint="eastAsia"/>
      </w:rPr>
    </w:lvl>
    <w:lvl w:ilvl="1" w:tentative="0">
      <w:start w:val="4"/>
      <w:numFmt w:val="decimal"/>
      <w:pStyle w:val="64"/>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210" w:hanging="21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0"/>
      <w:suff w:val="nothing"/>
      <w:lvlText w:val="%1%2.%3.%4　"/>
      <w:lvlJc w:val="left"/>
      <w:pPr>
        <w:ind w:left="142" w:firstLine="0"/>
      </w:pPr>
      <w:rPr>
        <w:rFonts w:hint="default" w:ascii="黑体" w:eastAsia="黑体"/>
        <w:b w:val="0"/>
        <w:i w:val="0"/>
        <w:sz w:val="21"/>
      </w:rPr>
    </w:lvl>
    <w:lvl w:ilvl="4" w:tentative="0">
      <w:start w:val="1"/>
      <w:numFmt w:val="decimal"/>
      <w:pStyle w:val="61"/>
      <w:suff w:val="nothing"/>
      <w:lvlText w:val="%1%2.%3.%4.%5　"/>
      <w:lvlJc w:val="left"/>
      <w:pPr>
        <w:ind w:left="0" w:firstLine="0"/>
      </w:pPr>
      <w:rPr>
        <w:rFonts w:hint="eastAsia" w:ascii="黑体" w:eastAsia="黑体"/>
        <w:b w:val="0"/>
        <w:i w:val="0"/>
        <w:sz w:val="21"/>
      </w:rPr>
    </w:lvl>
    <w:lvl w:ilvl="5" w:tentative="0">
      <w:start w:val="1"/>
      <w:numFmt w:val="decimal"/>
      <w:pStyle w:val="62"/>
      <w:suff w:val="nothing"/>
      <w:lvlText w:val="%1%2.%3.%4.%5.%6　"/>
      <w:lvlJc w:val="left"/>
      <w:pPr>
        <w:ind w:left="0" w:firstLine="0"/>
      </w:pPr>
      <w:rPr>
        <w:rFonts w:hint="eastAsia" w:ascii="黑体" w:eastAsia="黑体"/>
        <w:b w:val="0"/>
        <w:i w:val="0"/>
        <w:sz w:val="21"/>
      </w:rPr>
    </w:lvl>
    <w:lvl w:ilvl="6" w:tentative="0">
      <w:start w:val="1"/>
      <w:numFmt w:val="decimal"/>
      <w:pStyle w:val="6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445"/>
    <w:rsid w:val="00000BA8"/>
    <w:rsid w:val="00013824"/>
    <w:rsid w:val="00042D8E"/>
    <w:rsid w:val="00053B65"/>
    <w:rsid w:val="00063698"/>
    <w:rsid w:val="00085447"/>
    <w:rsid w:val="000950EF"/>
    <w:rsid w:val="000B61E1"/>
    <w:rsid w:val="000F1462"/>
    <w:rsid w:val="000F686B"/>
    <w:rsid w:val="00103519"/>
    <w:rsid w:val="001158B2"/>
    <w:rsid w:val="00122EC2"/>
    <w:rsid w:val="00141CA6"/>
    <w:rsid w:val="001562FC"/>
    <w:rsid w:val="001804FB"/>
    <w:rsid w:val="0019241F"/>
    <w:rsid w:val="001E27BA"/>
    <w:rsid w:val="001F5BA7"/>
    <w:rsid w:val="002343C2"/>
    <w:rsid w:val="002416C2"/>
    <w:rsid w:val="00244894"/>
    <w:rsid w:val="0026203A"/>
    <w:rsid w:val="00272EAC"/>
    <w:rsid w:val="0028195F"/>
    <w:rsid w:val="00292823"/>
    <w:rsid w:val="002B2B12"/>
    <w:rsid w:val="002B767F"/>
    <w:rsid w:val="002C0D63"/>
    <w:rsid w:val="002F0FA4"/>
    <w:rsid w:val="002F3712"/>
    <w:rsid w:val="003002D1"/>
    <w:rsid w:val="003103FC"/>
    <w:rsid w:val="00321DC7"/>
    <w:rsid w:val="0039401F"/>
    <w:rsid w:val="003B25CE"/>
    <w:rsid w:val="003B41B3"/>
    <w:rsid w:val="003C6A45"/>
    <w:rsid w:val="003D033D"/>
    <w:rsid w:val="003E0A4E"/>
    <w:rsid w:val="003E236D"/>
    <w:rsid w:val="003E4E8A"/>
    <w:rsid w:val="003E7646"/>
    <w:rsid w:val="004441FB"/>
    <w:rsid w:val="00456502"/>
    <w:rsid w:val="0045751E"/>
    <w:rsid w:val="00475D4C"/>
    <w:rsid w:val="00494008"/>
    <w:rsid w:val="004A5245"/>
    <w:rsid w:val="004B0A78"/>
    <w:rsid w:val="004C3C6B"/>
    <w:rsid w:val="004F343E"/>
    <w:rsid w:val="0050479A"/>
    <w:rsid w:val="00515273"/>
    <w:rsid w:val="00530136"/>
    <w:rsid w:val="00554C60"/>
    <w:rsid w:val="005657D2"/>
    <w:rsid w:val="005660A3"/>
    <w:rsid w:val="00570BA3"/>
    <w:rsid w:val="00571EAB"/>
    <w:rsid w:val="00573219"/>
    <w:rsid w:val="00574050"/>
    <w:rsid w:val="005B4BEA"/>
    <w:rsid w:val="005E3204"/>
    <w:rsid w:val="00602A4D"/>
    <w:rsid w:val="0061366F"/>
    <w:rsid w:val="00647F3B"/>
    <w:rsid w:val="00651012"/>
    <w:rsid w:val="00672ADE"/>
    <w:rsid w:val="00676422"/>
    <w:rsid w:val="006A1285"/>
    <w:rsid w:val="006A5DE4"/>
    <w:rsid w:val="00702D21"/>
    <w:rsid w:val="00702F07"/>
    <w:rsid w:val="00707031"/>
    <w:rsid w:val="007107B6"/>
    <w:rsid w:val="00714683"/>
    <w:rsid w:val="007212FF"/>
    <w:rsid w:val="00736961"/>
    <w:rsid w:val="0073744E"/>
    <w:rsid w:val="00745EE9"/>
    <w:rsid w:val="007663BE"/>
    <w:rsid w:val="00774520"/>
    <w:rsid w:val="007829B6"/>
    <w:rsid w:val="0079154B"/>
    <w:rsid w:val="007A19B2"/>
    <w:rsid w:val="007A3198"/>
    <w:rsid w:val="0082348F"/>
    <w:rsid w:val="0083502D"/>
    <w:rsid w:val="00850621"/>
    <w:rsid w:val="00863589"/>
    <w:rsid w:val="00867A0F"/>
    <w:rsid w:val="00882D71"/>
    <w:rsid w:val="008949F8"/>
    <w:rsid w:val="00897426"/>
    <w:rsid w:val="0089765B"/>
    <w:rsid w:val="008B433A"/>
    <w:rsid w:val="008C0834"/>
    <w:rsid w:val="008C4651"/>
    <w:rsid w:val="008C4FF3"/>
    <w:rsid w:val="008D17E1"/>
    <w:rsid w:val="008D7483"/>
    <w:rsid w:val="009103E3"/>
    <w:rsid w:val="009273A0"/>
    <w:rsid w:val="00956942"/>
    <w:rsid w:val="00981E1F"/>
    <w:rsid w:val="0098543F"/>
    <w:rsid w:val="009D265C"/>
    <w:rsid w:val="009D5792"/>
    <w:rsid w:val="00A01C46"/>
    <w:rsid w:val="00A1122D"/>
    <w:rsid w:val="00A130D2"/>
    <w:rsid w:val="00A2776F"/>
    <w:rsid w:val="00A701DF"/>
    <w:rsid w:val="00A74B02"/>
    <w:rsid w:val="00A90478"/>
    <w:rsid w:val="00A93228"/>
    <w:rsid w:val="00A96074"/>
    <w:rsid w:val="00AB401C"/>
    <w:rsid w:val="00AC52E2"/>
    <w:rsid w:val="00B0527E"/>
    <w:rsid w:val="00B11692"/>
    <w:rsid w:val="00B37251"/>
    <w:rsid w:val="00B641C1"/>
    <w:rsid w:val="00B7666A"/>
    <w:rsid w:val="00B808FC"/>
    <w:rsid w:val="00BE44C5"/>
    <w:rsid w:val="00C14CA4"/>
    <w:rsid w:val="00C27754"/>
    <w:rsid w:val="00C325BF"/>
    <w:rsid w:val="00C416CE"/>
    <w:rsid w:val="00C52705"/>
    <w:rsid w:val="00C60018"/>
    <w:rsid w:val="00C73BE1"/>
    <w:rsid w:val="00C7563F"/>
    <w:rsid w:val="00C96627"/>
    <w:rsid w:val="00CB4359"/>
    <w:rsid w:val="00CC11BB"/>
    <w:rsid w:val="00CD4E9B"/>
    <w:rsid w:val="00D104EB"/>
    <w:rsid w:val="00D422CE"/>
    <w:rsid w:val="00D51761"/>
    <w:rsid w:val="00D85185"/>
    <w:rsid w:val="00D96A48"/>
    <w:rsid w:val="00DB221A"/>
    <w:rsid w:val="00DC08FE"/>
    <w:rsid w:val="00DC3980"/>
    <w:rsid w:val="00DD0DB2"/>
    <w:rsid w:val="00DD4445"/>
    <w:rsid w:val="00DD477E"/>
    <w:rsid w:val="00DD6F45"/>
    <w:rsid w:val="00DE10F7"/>
    <w:rsid w:val="00E17BE2"/>
    <w:rsid w:val="00E2619F"/>
    <w:rsid w:val="00E50B6F"/>
    <w:rsid w:val="00E82CF9"/>
    <w:rsid w:val="00EA2752"/>
    <w:rsid w:val="00ED014E"/>
    <w:rsid w:val="00ED5822"/>
    <w:rsid w:val="00EE4597"/>
    <w:rsid w:val="00EF2FD9"/>
    <w:rsid w:val="00F27AD5"/>
    <w:rsid w:val="00F375A9"/>
    <w:rsid w:val="00F61784"/>
    <w:rsid w:val="00F82383"/>
    <w:rsid w:val="00F83805"/>
    <w:rsid w:val="00FB5CE2"/>
    <w:rsid w:val="00FE62AB"/>
    <w:rsid w:val="00FF58BE"/>
    <w:rsid w:val="01817813"/>
    <w:rsid w:val="01A80A6A"/>
    <w:rsid w:val="01E943A0"/>
    <w:rsid w:val="02581D40"/>
    <w:rsid w:val="05B2719F"/>
    <w:rsid w:val="084635EB"/>
    <w:rsid w:val="09DE0562"/>
    <w:rsid w:val="0CCA3222"/>
    <w:rsid w:val="0DB04F0C"/>
    <w:rsid w:val="0EC44AB0"/>
    <w:rsid w:val="0FB80AA2"/>
    <w:rsid w:val="11F5184C"/>
    <w:rsid w:val="17ED5B62"/>
    <w:rsid w:val="19633F66"/>
    <w:rsid w:val="1A97372A"/>
    <w:rsid w:val="1BAD24C2"/>
    <w:rsid w:val="1EBB750A"/>
    <w:rsid w:val="1EF108E0"/>
    <w:rsid w:val="2020147D"/>
    <w:rsid w:val="21EA1D42"/>
    <w:rsid w:val="244C451B"/>
    <w:rsid w:val="248B0E8F"/>
    <w:rsid w:val="24AA29B3"/>
    <w:rsid w:val="2F5471D3"/>
    <w:rsid w:val="327B0011"/>
    <w:rsid w:val="355F2BEC"/>
    <w:rsid w:val="357C1D11"/>
    <w:rsid w:val="37003ECF"/>
    <w:rsid w:val="381F0069"/>
    <w:rsid w:val="38B22A36"/>
    <w:rsid w:val="3B225C51"/>
    <w:rsid w:val="3BE27FB8"/>
    <w:rsid w:val="3BEB698B"/>
    <w:rsid w:val="3CAA145E"/>
    <w:rsid w:val="3D136199"/>
    <w:rsid w:val="3FB81178"/>
    <w:rsid w:val="402E32EA"/>
    <w:rsid w:val="432E5E7A"/>
    <w:rsid w:val="44A97D70"/>
    <w:rsid w:val="47D06A35"/>
    <w:rsid w:val="51DB4DCE"/>
    <w:rsid w:val="52884ADC"/>
    <w:rsid w:val="52C85097"/>
    <w:rsid w:val="55536396"/>
    <w:rsid w:val="55651104"/>
    <w:rsid w:val="562371F2"/>
    <w:rsid w:val="571B28E7"/>
    <w:rsid w:val="582F1556"/>
    <w:rsid w:val="58B10F39"/>
    <w:rsid w:val="5B601DC3"/>
    <w:rsid w:val="5BF76EE2"/>
    <w:rsid w:val="5C3156BC"/>
    <w:rsid w:val="5E5937C0"/>
    <w:rsid w:val="5E830604"/>
    <w:rsid w:val="5EC0115A"/>
    <w:rsid w:val="60793CB6"/>
    <w:rsid w:val="64796C7C"/>
    <w:rsid w:val="679F4002"/>
    <w:rsid w:val="691427CE"/>
    <w:rsid w:val="69D2314E"/>
    <w:rsid w:val="6B9A4795"/>
    <w:rsid w:val="6CF24A0D"/>
    <w:rsid w:val="6E825275"/>
    <w:rsid w:val="6EE6509E"/>
    <w:rsid w:val="6FBD596D"/>
    <w:rsid w:val="70953DBF"/>
    <w:rsid w:val="709F43DA"/>
    <w:rsid w:val="762304F4"/>
    <w:rsid w:val="7C084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2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9"/>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1"/>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2"/>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3"/>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55"/>
    <w:qFormat/>
    <w:uiPriority w:val="0"/>
    <w:pPr>
      <w:spacing w:line="240" w:lineRule="auto"/>
    </w:pPr>
    <w:rPr>
      <w:rFonts w:eastAsia="黑体"/>
      <w:color w:val="C00000"/>
      <w:sz w:val="24"/>
      <w:szCs w:val="22"/>
      <w:lang w:eastAsia="en-US"/>
    </w:rPr>
  </w:style>
  <w:style w:type="paragraph" w:styleId="12">
    <w:name w:val="Balloon Text"/>
    <w:basedOn w:val="1"/>
    <w:link w:val="56"/>
    <w:semiHidden/>
    <w:unhideWhenUsed/>
    <w:qFormat/>
    <w:uiPriority w:val="99"/>
    <w:pPr>
      <w:spacing w:line="240" w:lineRule="auto"/>
    </w:pPr>
    <w:rPr>
      <w:sz w:val="18"/>
      <w:szCs w:val="18"/>
    </w:rPr>
  </w:style>
  <w:style w:type="paragraph" w:styleId="13">
    <w:name w:val="footer"/>
    <w:basedOn w:val="1"/>
    <w:link w:val="47"/>
    <w:unhideWhenUsed/>
    <w:qFormat/>
    <w:uiPriority w:val="99"/>
    <w:pPr>
      <w:tabs>
        <w:tab w:val="center" w:pos="4153"/>
        <w:tab w:val="right" w:pos="8306"/>
      </w:tabs>
      <w:snapToGrid w:val="0"/>
      <w:jc w:val="left"/>
    </w:pPr>
    <w:rPr>
      <w:sz w:val="18"/>
      <w:szCs w:val="18"/>
    </w:rPr>
  </w:style>
  <w:style w:type="paragraph" w:styleId="14">
    <w:name w:val="header"/>
    <w:basedOn w:val="1"/>
    <w:link w:val="46"/>
    <w:unhideWhenUsed/>
    <w:qFormat/>
    <w:uiPriority w:val="99"/>
    <w:pP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oc 2"/>
    <w:basedOn w:val="1"/>
    <w:next w:val="1"/>
    <w:autoRedefine/>
    <w:unhideWhenUsed/>
    <w:qFormat/>
    <w:uiPriority w:val="39"/>
    <w:pPr>
      <w:ind w:left="420" w:leftChars="200"/>
    </w:pPr>
  </w:style>
  <w:style w:type="paragraph" w:styleId="18">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19">
    <w:name w:val="Title"/>
    <w:basedOn w:val="1"/>
    <w:next w:val="1"/>
    <w:link w:val="37"/>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0">
    <w:name w:val="annotation subject"/>
    <w:basedOn w:val="11"/>
    <w:next w:val="11"/>
    <w:link w:val="57"/>
    <w:semiHidden/>
    <w:unhideWhenUsed/>
    <w:qFormat/>
    <w:uiPriority w:val="99"/>
    <w:pPr>
      <w:spacing w:line="400" w:lineRule="exact"/>
      <w:jc w:val="left"/>
    </w:pPr>
    <w:rPr>
      <w:rFonts w:eastAsia="宋体"/>
      <w:b/>
      <w:bCs/>
      <w:color w:val="auto"/>
      <w:sz w:val="21"/>
      <w:szCs w:val="21"/>
      <w:lang w:eastAsia="zh-CN"/>
    </w:rPr>
  </w:style>
  <w:style w:type="table" w:styleId="22">
    <w:name w:val="Table Grid"/>
    <w:basedOn w:val="2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semiHidden/>
    <w:unhideWhenUsed/>
    <w:qFormat/>
    <w:uiPriority w:val="99"/>
  </w:style>
  <w:style w:type="character" w:styleId="26">
    <w:name w:val="Hyperlink"/>
    <w:basedOn w:val="23"/>
    <w:unhideWhenUsed/>
    <w:qFormat/>
    <w:uiPriority w:val="99"/>
    <w:rPr>
      <w:color w:val="467886" w:themeColor="hyperlink"/>
      <w:u w:val="single"/>
      <w14:textFill>
        <w14:solidFill>
          <w14:schemeClr w14:val="hlink"/>
        </w14:solidFill>
      </w14:textFill>
    </w:rPr>
  </w:style>
  <w:style w:type="character" w:styleId="27">
    <w:name w:val="annotation reference"/>
    <w:basedOn w:val="23"/>
    <w:semiHidden/>
    <w:unhideWhenUsed/>
    <w:qFormat/>
    <w:uiPriority w:val="99"/>
    <w:rPr>
      <w:sz w:val="21"/>
      <w:szCs w:val="21"/>
    </w:rPr>
  </w:style>
  <w:style w:type="character" w:customStyle="1" w:styleId="28">
    <w:name w:val="标题 1 字符"/>
    <w:basedOn w:val="23"/>
    <w:link w:val="2"/>
    <w:qFormat/>
    <w:uiPriority w:val="9"/>
    <w:rPr>
      <w:rFonts w:asciiTheme="majorHAnsi" w:hAnsiTheme="majorHAnsi" w:eastAsiaTheme="majorEastAsia" w:cstheme="majorBidi"/>
      <w:color w:val="104862" w:themeColor="accent1" w:themeShade="BF"/>
      <w:sz w:val="48"/>
      <w:szCs w:val="48"/>
    </w:rPr>
  </w:style>
  <w:style w:type="character" w:customStyle="1" w:styleId="29">
    <w:name w:val="标题 2 字符"/>
    <w:basedOn w:val="23"/>
    <w:link w:val="3"/>
    <w:qFormat/>
    <w:uiPriority w:val="9"/>
    <w:rPr>
      <w:rFonts w:asciiTheme="majorHAnsi" w:hAnsiTheme="majorHAnsi" w:eastAsiaTheme="majorEastAsia" w:cstheme="majorBidi"/>
      <w:color w:val="104862" w:themeColor="accent1" w:themeShade="BF"/>
      <w:sz w:val="40"/>
      <w:szCs w:val="40"/>
    </w:rPr>
  </w:style>
  <w:style w:type="character" w:customStyle="1" w:styleId="30">
    <w:name w:val="标题 3 字符"/>
    <w:basedOn w:val="23"/>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1">
    <w:name w:val="标题 4 字符"/>
    <w:basedOn w:val="23"/>
    <w:link w:val="5"/>
    <w:semiHidden/>
    <w:qFormat/>
    <w:uiPriority w:val="9"/>
    <w:rPr>
      <w:rFonts w:cstheme="majorBidi"/>
      <w:color w:val="104862" w:themeColor="accent1" w:themeShade="BF"/>
      <w:sz w:val="28"/>
      <w:szCs w:val="28"/>
    </w:rPr>
  </w:style>
  <w:style w:type="character" w:customStyle="1" w:styleId="32">
    <w:name w:val="标题 5 字符"/>
    <w:basedOn w:val="23"/>
    <w:link w:val="6"/>
    <w:semiHidden/>
    <w:qFormat/>
    <w:uiPriority w:val="9"/>
    <w:rPr>
      <w:rFonts w:cstheme="majorBidi"/>
      <w:color w:val="104862" w:themeColor="accent1" w:themeShade="BF"/>
      <w:sz w:val="24"/>
      <w:szCs w:val="24"/>
    </w:rPr>
  </w:style>
  <w:style w:type="character" w:customStyle="1" w:styleId="33">
    <w:name w:val="标题 6 字符"/>
    <w:basedOn w:val="23"/>
    <w:link w:val="7"/>
    <w:semiHidden/>
    <w:qFormat/>
    <w:uiPriority w:val="9"/>
    <w:rPr>
      <w:rFonts w:cstheme="majorBidi"/>
      <w:b/>
      <w:bCs/>
      <w:color w:val="104862" w:themeColor="accent1" w:themeShade="BF"/>
    </w:rPr>
  </w:style>
  <w:style w:type="character" w:customStyle="1" w:styleId="34">
    <w:name w:val="标题 7 字符"/>
    <w:basedOn w:val="23"/>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5">
    <w:name w:val="标题 8 字符"/>
    <w:basedOn w:val="23"/>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6">
    <w:name w:val="标题 9 字符"/>
    <w:basedOn w:val="23"/>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7">
    <w:name w:val="标题 字符"/>
    <w:basedOn w:val="23"/>
    <w:link w:val="19"/>
    <w:qFormat/>
    <w:uiPriority w:val="10"/>
    <w:rPr>
      <w:rFonts w:asciiTheme="majorHAnsi" w:hAnsiTheme="majorHAnsi" w:eastAsiaTheme="majorEastAsia" w:cstheme="majorBidi"/>
      <w:spacing w:val="-10"/>
      <w:kern w:val="28"/>
      <w:sz w:val="56"/>
      <w:szCs w:val="56"/>
    </w:rPr>
  </w:style>
  <w:style w:type="character" w:customStyle="1" w:styleId="38">
    <w:name w:val="副标题 字符"/>
    <w:basedOn w:val="23"/>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9">
    <w:name w:val="Quote"/>
    <w:basedOn w:val="1"/>
    <w:next w:val="1"/>
    <w:link w:val="4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0">
    <w:name w:val="引用 字符"/>
    <w:basedOn w:val="23"/>
    <w:link w:val="39"/>
    <w:qFormat/>
    <w:uiPriority w:val="29"/>
    <w:rPr>
      <w:i/>
      <w:iCs/>
      <w:color w:val="404040" w:themeColor="text1" w:themeTint="BF"/>
      <w14:textFill>
        <w14:solidFill>
          <w14:schemeClr w14:val="tx1">
            <w14:lumMod w14:val="75000"/>
            <w14:lumOff w14:val="25000"/>
          </w14:schemeClr>
        </w14:solidFill>
      </w14:textFill>
    </w:rPr>
  </w:style>
  <w:style w:type="paragraph" w:styleId="41">
    <w:name w:val="List Paragraph"/>
    <w:basedOn w:val="1"/>
    <w:qFormat/>
    <w:uiPriority w:val="34"/>
    <w:pPr>
      <w:ind w:left="720"/>
      <w:contextualSpacing/>
    </w:pPr>
  </w:style>
  <w:style w:type="character" w:customStyle="1" w:styleId="42">
    <w:name w:val="明显强调1"/>
    <w:basedOn w:val="23"/>
    <w:qFormat/>
    <w:uiPriority w:val="21"/>
    <w:rPr>
      <w:i/>
      <w:iCs/>
      <w:color w:val="104862" w:themeColor="accent1" w:themeShade="BF"/>
    </w:rPr>
  </w:style>
  <w:style w:type="paragraph" w:styleId="43">
    <w:name w:val="Intense Quote"/>
    <w:basedOn w:val="1"/>
    <w:next w:val="1"/>
    <w:link w:val="4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4">
    <w:name w:val="明显引用 字符"/>
    <w:basedOn w:val="23"/>
    <w:link w:val="43"/>
    <w:qFormat/>
    <w:uiPriority w:val="30"/>
    <w:rPr>
      <w:i/>
      <w:iCs/>
      <w:color w:val="104862" w:themeColor="accent1" w:themeShade="BF"/>
    </w:rPr>
  </w:style>
  <w:style w:type="character" w:customStyle="1" w:styleId="45">
    <w:name w:val="明显参考1"/>
    <w:basedOn w:val="23"/>
    <w:qFormat/>
    <w:uiPriority w:val="32"/>
    <w:rPr>
      <w:b/>
      <w:bCs/>
      <w:smallCaps/>
      <w:color w:val="104862" w:themeColor="accent1" w:themeShade="BF"/>
      <w:spacing w:val="5"/>
    </w:rPr>
  </w:style>
  <w:style w:type="character" w:customStyle="1" w:styleId="46">
    <w:name w:val="页眉 字符"/>
    <w:basedOn w:val="23"/>
    <w:link w:val="14"/>
    <w:qFormat/>
    <w:uiPriority w:val="99"/>
    <w:rPr>
      <w:sz w:val="18"/>
      <w:szCs w:val="18"/>
    </w:rPr>
  </w:style>
  <w:style w:type="character" w:customStyle="1" w:styleId="47">
    <w:name w:val="页脚 字符"/>
    <w:basedOn w:val="23"/>
    <w:link w:val="13"/>
    <w:qFormat/>
    <w:uiPriority w:val="99"/>
    <w:rPr>
      <w:sz w:val="18"/>
      <w:szCs w:val="18"/>
    </w:rPr>
  </w:style>
  <w:style w:type="paragraph" w:customStyle="1" w:styleId="48">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49">
    <w:name w:val="标准文件_引言一级条标题"/>
    <w:basedOn w:val="1"/>
    <w:next w:val="1"/>
    <w:qFormat/>
    <w:uiPriority w:val="0"/>
    <w:pPr>
      <w:widowControl/>
      <w:numPr>
        <w:ilvl w:val="1"/>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0">
    <w:name w:val="标准文件_引言二级条标题"/>
    <w:basedOn w:val="1"/>
    <w:next w:val="1"/>
    <w:qFormat/>
    <w:uiPriority w:val="0"/>
    <w:pPr>
      <w:widowControl/>
      <w:numPr>
        <w:ilvl w:val="2"/>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1">
    <w:name w:val="标准文件_引言三级条标题"/>
    <w:basedOn w:val="1"/>
    <w:next w:val="1"/>
    <w:qFormat/>
    <w:uiPriority w:val="0"/>
    <w:pPr>
      <w:widowControl/>
      <w:numPr>
        <w:ilvl w:val="3"/>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2">
    <w:name w:val="标准文件_引言四级条标题"/>
    <w:basedOn w:val="1"/>
    <w:next w:val="1"/>
    <w:qFormat/>
    <w:uiPriority w:val="0"/>
    <w:pPr>
      <w:widowControl/>
      <w:numPr>
        <w:ilvl w:val="4"/>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3">
    <w:name w:val="标准文件_引言五级条标题"/>
    <w:basedOn w:val="1"/>
    <w:next w:val="1"/>
    <w:qFormat/>
    <w:uiPriority w:val="0"/>
    <w:pPr>
      <w:widowControl/>
      <w:numPr>
        <w:ilvl w:val="5"/>
        <w:numId w:val="1"/>
      </w:numPr>
      <w:tabs>
        <w:tab w:val="left" w:pos="360"/>
      </w:tabs>
      <w:autoSpaceDE w:val="0"/>
      <w:autoSpaceDN w:val="0"/>
      <w:adjustRightInd/>
      <w:spacing w:before="50" w:beforeLines="50" w:after="50" w:afterLines="50" w:line="240" w:lineRule="auto"/>
      <w:ind w:firstLine="200"/>
    </w:pPr>
    <w:rPr>
      <w:rFonts w:ascii="黑体" w:hAnsi="Times New Roman" w:eastAsia="黑体"/>
      <w:kern w:val="0"/>
      <w:szCs w:val="20"/>
    </w:rPr>
  </w:style>
  <w:style w:type="paragraph" w:customStyle="1" w:styleId="5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character" w:customStyle="1" w:styleId="55">
    <w:name w:val="批注文字 字符"/>
    <w:basedOn w:val="23"/>
    <w:link w:val="11"/>
    <w:qFormat/>
    <w:uiPriority w:val="0"/>
    <w:rPr>
      <w:rFonts w:ascii="Calibri" w:hAnsi="Calibri" w:eastAsia="黑体" w:cs="Times New Roman"/>
      <w:color w:val="C00000"/>
      <w:sz w:val="24"/>
      <w:lang w:eastAsia="en-US"/>
      <w14:ligatures w14:val="none"/>
    </w:rPr>
  </w:style>
  <w:style w:type="character" w:customStyle="1" w:styleId="56">
    <w:name w:val="批注框文本 字符"/>
    <w:basedOn w:val="23"/>
    <w:link w:val="12"/>
    <w:semiHidden/>
    <w:qFormat/>
    <w:uiPriority w:val="99"/>
    <w:rPr>
      <w:rFonts w:ascii="Calibri" w:hAnsi="Calibri" w:eastAsia="宋体" w:cs="Times New Roman"/>
      <w:sz w:val="18"/>
      <w:szCs w:val="18"/>
      <w14:ligatures w14:val="none"/>
    </w:rPr>
  </w:style>
  <w:style w:type="character" w:customStyle="1" w:styleId="57">
    <w:name w:val="批注主题 字符"/>
    <w:basedOn w:val="55"/>
    <w:link w:val="20"/>
    <w:semiHidden/>
    <w:qFormat/>
    <w:uiPriority w:val="99"/>
    <w:rPr>
      <w:rFonts w:ascii="Calibri" w:hAnsi="Calibri" w:eastAsia="宋体" w:cs="Times New Roman"/>
      <w:b/>
      <w:bCs/>
      <w:color w:val="C00000"/>
      <w:sz w:val="24"/>
      <w:szCs w:val="21"/>
      <w:lang w:eastAsia="en-US"/>
      <w14:ligatures w14:val="none"/>
    </w:rPr>
  </w:style>
  <w:style w:type="paragraph" w:customStyle="1" w:styleId="58">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9">
    <w:name w:val="标准文件_段"/>
    <w:link w:val="6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二级条标题"/>
    <w:next w:val="59"/>
    <w:qFormat/>
    <w:uiPriority w:val="0"/>
    <w:pPr>
      <w:widowControl w:val="0"/>
      <w:numPr>
        <w:ilvl w:val="3"/>
        <w:numId w:val="2"/>
      </w:numPr>
      <w:tabs>
        <w:tab w:val="left" w:pos="142"/>
      </w:tabs>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61">
    <w:name w:val="标准文件_三级条标题"/>
    <w:basedOn w:val="60"/>
    <w:next w:val="59"/>
    <w:qFormat/>
    <w:uiPriority w:val="0"/>
    <w:pPr>
      <w:widowControl/>
      <w:numPr>
        <w:ilvl w:val="4"/>
      </w:numPr>
      <w:outlineLvl w:val="3"/>
    </w:pPr>
  </w:style>
  <w:style w:type="paragraph" w:customStyle="1" w:styleId="62">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63">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64">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5">
    <w:name w:val="标准文件_一级条标题"/>
    <w:basedOn w:val="64"/>
    <w:next w:val="59"/>
    <w:qFormat/>
    <w:uiPriority w:val="0"/>
    <w:pPr>
      <w:numPr>
        <w:ilvl w:val="2"/>
      </w:numPr>
      <w:spacing w:before="50" w:beforeLines="50" w:after="50" w:afterLines="50"/>
      <w:outlineLvl w:val="1"/>
    </w:pPr>
  </w:style>
  <w:style w:type="paragraph" w:customStyle="1" w:styleId="6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67">
    <w:name w:val="标准文件_段 Char"/>
    <w:link w:val="59"/>
    <w:qFormat/>
    <w:uiPriority w:val="0"/>
    <w:rPr>
      <w:rFonts w:ascii="宋体" w:hAnsi="Times New Roman" w:eastAsia="宋体" w:cs="Times New Roman"/>
      <w:kern w:val="0"/>
      <w:szCs w:val="20"/>
      <w14:ligatures w14:val="none"/>
    </w:rPr>
  </w:style>
  <w:style w:type="paragraph" w:customStyle="1" w:styleId="68">
    <w:name w:val="WPSOffice手动目录 1"/>
    <w:qFormat/>
    <w:uiPriority w:val="0"/>
    <w:rPr>
      <w:rFonts w:ascii="Times New Roman" w:hAnsi="Times New Roman" w:eastAsia="宋体" w:cs="Times New Roman"/>
      <w:lang w:val="en-US" w:eastAsia="zh-CN" w:bidi="ar-SA"/>
    </w:rPr>
  </w:style>
  <w:style w:type="paragraph" w:customStyle="1" w:styleId="6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0">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71">
    <w:name w:val="标准文件_数字编号列项（二级）"/>
    <w:qFormat/>
    <w:uiPriority w:val="0"/>
    <w:pPr>
      <w:numPr>
        <w:ilvl w:val="1"/>
        <w:numId w:val="3"/>
      </w:numPr>
      <w:tabs>
        <w:tab w:val="left" w:pos="851"/>
      </w:tabs>
      <w:jc w:val="both"/>
    </w:pPr>
    <w:rPr>
      <w:rFonts w:ascii="宋体" w:hAnsi="Times New Roman" w:eastAsia="宋体" w:cs="Times New Roman"/>
      <w:sz w:val="21"/>
      <w:lang w:val="en-US" w:eastAsia="zh-CN" w:bidi="ar-SA"/>
    </w:rPr>
  </w:style>
  <w:style w:type="paragraph" w:customStyle="1" w:styleId="72">
    <w:name w:val="标准文件_编号列项（三级）"/>
    <w:qFormat/>
    <w:uiPriority w:val="0"/>
    <w:pPr>
      <w:numPr>
        <w:ilvl w:val="2"/>
        <w:numId w:val="3"/>
      </w:numPr>
      <w:tabs>
        <w:tab w:val="left" w:pos="851"/>
      </w:tabs>
    </w:pPr>
    <w:rPr>
      <w:rFonts w:ascii="宋体" w:hAnsi="Times New Roman" w:eastAsia="宋体" w:cs="Times New Roman"/>
      <w:sz w:val="21"/>
      <w:lang w:val="en-US" w:eastAsia="zh-CN" w:bidi="ar-SA"/>
    </w:rPr>
  </w:style>
  <w:style w:type="paragraph" w:customStyle="1" w:styleId="73">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74">
    <w:name w:val="修订1"/>
    <w:hidden/>
    <w:semiHidden/>
    <w:qFormat/>
    <w:uiPriority w:val="99"/>
    <w:rPr>
      <w:rFonts w:ascii="Calibri" w:hAnsi="Calibri" w:eastAsia="宋体" w:cs="Times New Roman"/>
      <w:kern w:val="2"/>
      <w:sz w:val="21"/>
      <w:szCs w:val="21"/>
      <w:lang w:val="en-US" w:eastAsia="zh-CN" w:bidi="ar-SA"/>
    </w:rPr>
  </w:style>
  <w:style w:type="paragraph" w:customStyle="1" w:styleId="75">
    <w:name w:val="修订2"/>
    <w:hidden/>
    <w:unhideWhenUsed/>
    <w:qFormat/>
    <w:uiPriority w:val="99"/>
    <w:rPr>
      <w:rFonts w:ascii="Calibri" w:hAnsi="Calibri" w:eastAsia="宋体" w:cs="Times New Roman"/>
      <w:kern w:val="2"/>
      <w:sz w:val="21"/>
      <w:szCs w:val="21"/>
      <w:lang w:val="en-US" w:eastAsia="zh-CN" w:bidi="ar-SA"/>
    </w:rPr>
  </w:style>
  <w:style w:type="character" w:customStyle="1" w:styleId="76">
    <w:name w:val="未处理的提及1"/>
    <w:basedOn w:val="23"/>
    <w:semiHidden/>
    <w:unhideWhenUsed/>
    <w:qFormat/>
    <w:uiPriority w:val="99"/>
    <w:rPr>
      <w:color w:val="605E5C"/>
      <w:shd w:val="clear" w:color="auto" w:fill="E1DFDD"/>
    </w:rPr>
  </w:style>
  <w:style w:type="table" w:customStyle="1" w:styleId="77">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paragraph" w:customStyle="1" w:styleId="78">
    <w:name w:val="修订3"/>
    <w:hidden/>
    <w:semiHidden/>
    <w:qFormat/>
    <w:uiPriority w:val="99"/>
    <w:rPr>
      <w:rFonts w:ascii="Calibri" w:hAnsi="Calibri" w:eastAsia="宋体" w:cs="Times New Roman"/>
      <w:kern w:val="2"/>
      <w:sz w:val="21"/>
      <w:szCs w:val="21"/>
      <w:lang w:val="en-US" w:eastAsia="zh-CN" w:bidi="ar-SA"/>
    </w:rPr>
  </w:style>
  <w:style w:type="paragraph" w:customStyle="1" w:styleId="79">
    <w:name w:val="Revision"/>
    <w:hidden/>
    <w:unhideWhenUsed/>
    <w:qFormat/>
    <w:uiPriority w:val="99"/>
    <w:rPr>
      <w:rFonts w:ascii="Calibri" w:hAnsi="Calibri" w:eastAsia="宋体" w:cs="Times New Roman"/>
      <w:kern w:val="2"/>
      <w:sz w:val="21"/>
      <w:szCs w:val="21"/>
      <w:lang w:val="en-US" w:eastAsia="zh-CN" w:bidi="ar-SA"/>
    </w:rPr>
  </w:style>
  <w:style w:type="character" w:customStyle="1" w:styleId="80">
    <w:name w:val="font11"/>
    <w:basedOn w:val="23"/>
    <w:qFormat/>
    <w:uiPriority w:val="0"/>
    <w:rPr>
      <w:rFonts w:hint="default" w:ascii="Segoe UI" w:hAnsi="Segoe UI" w:eastAsia="Segoe UI" w:cs="Segoe UI"/>
      <w:color w:val="0F1115"/>
      <w:sz w:val="22"/>
      <w:szCs w:val="22"/>
      <w:u w:val="none"/>
    </w:rPr>
  </w:style>
  <w:style w:type="character" w:customStyle="1" w:styleId="81">
    <w:name w:val="font31"/>
    <w:basedOn w:val="23"/>
    <w:qFormat/>
    <w:uiPriority w:val="0"/>
    <w:rPr>
      <w:rFonts w:hint="eastAsia" w:ascii="宋体" w:hAnsi="宋体" w:eastAsia="宋体" w:cs="宋体"/>
      <w:color w:val="0F1115"/>
      <w:sz w:val="23"/>
      <w:szCs w:val="23"/>
      <w:u w:val="none"/>
    </w:rPr>
  </w:style>
  <w:style w:type="paragraph" w:customStyle="1" w:styleId="82">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3.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2.xml"/><Relationship Id="rId11" Type="http://schemas.openxmlformats.org/officeDocument/2006/relationships/header" Target="header6.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413998-3D0E-43BB-874E-DE09DE13DAFE}">
  <ds:schemaRefs/>
</ds:datastoreItem>
</file>

<file path=docProps/app.xml><?xml version="1.0" encoding="utf-8"?>
<Properties xmlns="http://schemas.openxmlformats.org/officeDocument/2006/extended-properties" xmlns:vt="http://schemas.openxmlformats.org/officeDocument/2006/docPropsVTypes">
  <Template>Normal</Template>
  <Pages>32</Pages>
  <Words>3471</Words>
  <Characters>4128</Characters>
  <Lines>46</Lines>
  <Paragraphs>12</Paragraphs>
  <TotalTime>0</TotalTime>
  <ScaleCrop>false</ScaleCrop>
  <LinksUpToDate>false</LinksUpToDate>
  <CharactersWithSpaces>4362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2025-09-13T01:25:00Z</dcterms:created>
  <dc:creator>段熠</dc:creator>
  <cp:lastModifiedBy>zhangsir</cp:lastModifiedBy>
  <cp:lastPrinted>2025-08-18T01:06:00Z</cp:lastPrinted>
  <dcterms:modified xsi:type="dcterms:W3CDTF">2026-03-06T09:28:21Z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eyJoZGlkIjoiMjFhYjg0NTMzNmMxNzk5NzQ2Nzg2NjkzNDM4OTMzMTQiLCJ1c2VySWQiOiIzMjkzNTA1OTEifQ==</vt:lpwstr>
  </property>
  <property fmtid="{D5CDD505-2E9C-101B-9397-08002B2CF9AE}" pid="3" name="KSOProductBuildVer">
    <vt:lpwstr>2052-12.1.0.25225</vt:lpwstr>
  </property>
  <property fmtid="{D5CDD505-2E9C-101B-9397-08002B2CF9AE}" pid="4" name="ICV">
    <vt:lpwstr>5E6CC3508D4E43F4A6F86DDA69B57CB8_13</vt:lpwstr>
  </property>
</Properties>
</file>