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96103">
      <w:pPr>
        <w:spacing w:line="660" w:lineRule="exact"/>
        <w:jc w:val="left"/>
        <w:outlineLvl w:val="0"/>
        <w:rPr>
          <w:rFonts w:hint="eastAsia" w:ascii="黑体" w:hAnsi="宋体" w:eastAsia="黑体" w:cs="黑体"/>
          <w:b/>
          <w:bCs/>
          <w:color w:val="000000"/>
          <w:kern w:val="0"/>
          <w:sz w:val="32"/>
          <w:szCs w:val="32"/>
          <w:lang w:val="en-US" w:eastAsia="zh-CN" w:bidi="ar"/>
          <w14:ligatures w14:val="none"/>
        </w:rPr>
      </w:pPr>
      <w:r>
        <w:rPr>
          <w:rFonts w:hint="eastAsia" w:ascii="黑体" w:hAnsi="宋体" w:eastAsia="黑体" w:cs="黑体"/>
          <w:b/>
          <w:bCs/>
          <w:color w:val="000000"/>
          <w:kern w:val="0"/>
          <w:sz w:val="32"/>
          <w:szCs w:val="32"/>
          <w:lang w:val="en-US" w:eastAsia="zh-CN" w:bidi="ar"/>
          <w14:ligatures w14:val="none"/>
        </w:rPr>
        <w:t>附件5</w:t>
      </w:r>
    </w:p>
    <w:p w14:paraId="5F0DD5DC">
      <w:pPr>
        <w:spacing w:line="660" w:lineRule="exact"/>
        <w:jc w:val="center"/>
        <w:outlineLvl w:val="0"/>
        <w:rPr>
          <w:rFonts w:hint="eastAsia" w:ascii="黑体" w:hAnsi="宋体" w:eastAsia="黑体" w:cs="黑体"/>
          <w:b/>
          <w:bCs/>
          <w:color w:val="000000"/>
          <w:kern w:val="0"/>
          <w:sz w:val="30"/>
          <w:szCs w:val="30"/>
          <w:lang w:bidi="ar"/>
          <w14:ligatures w14:val="none"/>
        </w:rPr>
      </w:pPr>
      <w:r>
        <w:rPr>
          <w:rFonts w:hint="eastAsia" w:ascii="黑体" w:hAnsi="宋体" w:eastAsia="黑体" w:cs="黑体"/>
          <w:b/>
          <w:bCs/>
          <w:color w:val="000000"/>
          <w:kern w:val="0"/>
          <w:sz w:val="30"/>
          <w:szCs w:val="30"/>
          <w:lang w:bidi="ar"/>
          <w14:ligatures w14:val="none"/>
        </w:rPr>
        <w:t>重大慢病“防、筛、管、治、康、护”推广标准</w:t>
      </w:r>
      <w:bookmarkStart w:id="0" w:name="_GoBack"/>
      <w:bookmarkEnd w:id="0"/>
    </w:p>
    <w:p w14:paraId="0B680F36">
      <w:pPr>
        <w:spacing w:line="660" w:lineRule="exact"/>
        <w:jc w:val="center"/>
        <w:outlineLvl w:val="0"/>
        <w:rPr>
          <w:rFonts w:hint="eastAsia" w:ascii="黑体" w:hAnsi="宋体" w:eastAsia="黑体" w:cs="黑体"/>
          <w:b/>
          <w:bCs/>
          <w:color w:val="000000"/>
          <w:kern w:val="0"/>
          <w:sz w:val="30"/>
          <w:szCs w:val="30"/>
          <w:lang w:bidi="ar"/>
          <w14:ligatures w14:val="none"/>
        </w:rPr>
      </w:pPr>
      <w:r>
        <w:rPr>
          <w:rFonts w:hint="eastAsia" w:ascii="黑体" w:hAnsi="宋体" w:eastAsia="黑体" w:cs="黑体"/>
          <w:b/>
          <w:bCs/>
          <w:color w:val="000000"/>
          <w:kern w:val="0"/>
          <w:sz w:val="30"/>
          <w:szCs w:val="30"/>
          <w:lang w:bidi="ar"/>
          <w14:ligatures w14:val="none"/>
        </w:rPr>
        <w:t>团体标准编制说明</w:t>
      </w:r>
    </w:p>
    <w:p w14:paraId="321C547F">
      <w:pPr>
        <w:spacing w:line="660" w:lineRule="exact"/>
        <w:outlineLvl w:val="0"/>
        <w:rPr>
          <w:rFonts w:hint="eastAsia" w:ascii="宋体" w:hAnsi="宋体" w:eastAsia="宋体" w:cs="Times New Roman"/>
          <w:b/>
          <w:bCs/>
          <w:sz w:val="24"/>
          <w:szCs w:val="24"/>
          <w14:ligatures w14:val="standardContextual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14:ligatures w14:val="standardContextual"/>
        </w:rPr>
        <w:t>一、任务来源与项目编号、各起草单位和起草人承担的工作、起草过程等</w:t>
      </w:r>
    </w:p>
    <w:p w14:paraId="03E269BA">
      <w:pPr>
        <w:spacing w:line="660" w:lineRule="exac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（一）任务来源与项目编号</w:t>
      </w:r>
    </w:p>
    <w:p w14:paraId="1FFEB307">
      <w:pPr>
        <w:widowControl/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《重大慢病“防、筛、管、治、康、护”推广标准》为中国民族卫生协会提出并立项的团体标准项目，由中国民族卫生协会归口管理。该标准的制定旨在贯彻落实《“健康中国2030”规划纲要》《国家标准化发展纲要》等国家政策文件中关于慢性病综合防控、医防融合和基层服务能力建设的有关要求，推动重大慢病防治服务由单一环节向全周期、系统化、规范化推广转变。</w:t>
      </w:r>
    </w:p>
    <w:p w14:paraId="0926DEB3">
      <w:pPr>
        <w:numPr>
          <w:ilvl w:val="0"/>
          <w:numId w:val="1"/>
        </w:numPr>
        <w:spacing w:line="660" w:lineRule="exact"/>
        <w:outlineLvl w:val="0"/>
        <w:rPr>
          <w:rFonts w:hint="eastAsia" w:ascii="宋体" w:hAnsi="宋体" w:eastAsia="宋体" w:cs="Times New Roman"/>
          <w:b/>
          <w:bCs/>
          <w:sz w:val="24"/>
          <w:szCs w:val="24"/>
          <w14:ligatures w14:val="standardContextual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14:ligatures w14:val="standardContextual"/>
        </w:rPr>
        <w:t>各起草单位和起草人承担的工作</w:t>
      </w:r>
    </w:p>
    <w:p w14:paraId="572443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仿宋_GB2312" w:hAnsi="方正仿宋_GB2312" w:eastAsia="方正仿宋_GB2312" w:cs="方正仿宋_GB2312"/>
          <w:color w:val="auto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>表1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</w:rPr>
        <w:t>项目组主要参与人员及承担的工作</w:t>
      </w:r>
    </w:p>
    <w:tbl>
      <w:tblPr>
        <w:tblStyle w:val="5"/>
        <w:tblW w:w="88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1686"/>
        <w:gridCol w:w="1067"/>
        <w:gridCol w:w="960"/>
        <w:gridCol w:w="2186"/>
        <w:gridCol w:w="1982"/>
      </w:tblGrid>
      <w:tr w14:paraId="4C8424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962" w:type="dxa"/>
            <w:shd w:val="clear" w:color="auto" w:fill="D7D7D7" w:themeFill="background1" w:themeFillShade="D8"/>
          </w:tcPr>
          <w:p w14:paraId="12BEFE60">
            <w:pPr>
              <w:pStyle w:val="6"/>
              <w:spacing w:before="99" w:line="224" w:lineRule="auto"/>
              <w:ind w:left="123"/>
              <w:rPr>
                <w:rFonts w:hint="eastAsia" w:ascii="宋体" w:hAnsi="宋体" w:eastAsia="宋体" w:cs="宋体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3"/>
                <w:sz w:val="20"/>
                <w:szCs w:val="20"/>
                <w14:ligatures w14:val="none"/>
              </w:rPr>
              <w:t>姓名</w:t>
            </w:r>
          </w:p>
        </w:tc>
        <w:tc>
          <w:tcPr>
            <w:tcW w:w="1686" w:type="dxa"/>
            <w:shd w:val="clear" w:color="auto" w:fill="D7D7D7" w:themeFill="background1" w:themeFillShade="D8"/>
          </w:tcPr>
          <w:p w14:paraId="4431530F">
            <w:pPr>
              <w:pStyle w:val="6"/>
              <w:spacing w:before="99" w:line="219" w:lineRule="auto"/>
              <w:ind w:left="119"/>
              <w:rPr>
                <w:rFonts w:hint="eastAsia" w:ascii="宋体" w:hAnsi="宋体" w:eastAsia="宋体" w:cs="宋体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20"/>
                <w:szCs w:val="20"/>
                <w14:ligatures w14:val="none"/>
              </w:rPr>
              <w:t>所在单位（部门）</w:t>
            </w:r>
          </w:p>
        </w:tc>
        <w:tc>
          <w:tcPr>
            <w:tcW w:w="1067" w:type="dxa"/>
            <w:shd w:val="clear" w:color="auto" w:fill="D7D7D7" w:themeFill="background1" w:themeFillShade="D8"/>
          </w:tcPr>
          <w:p w14:paraId="334C4A68">
            <w:pPr>
              <w:pStyle w:val="6"/>
              <w:spacing w:before="98" w:line="223" w:lineRule="auto"/>
              <w:ind w:left="120"/>
              <w:rPr>
                <w:rFonts w:hint="eastAsia" w:ascii="宋体" w:hAnsi="宋体" w:eastAsia="宋体" w:cs="宋体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3"/>
                <w:sz w:val="20"/>
                <w:szCs w:val="20"/>
                <w14:ligatures w14:val="none"/>
              </w:rPr>
              <w:t>职务</w:t>
            </w:r>
          </w:p>
        </w:tc>
        <w:tc>
          <w:tcPr>
            <w:tcW w:w="960" w:type="dxa"/>
            <w:shd w:val="clear" w:color="auto" w:fill="D7D7D7" w:themeFill="background1" w:themeFillShade="D8"/>
          </w:tcPr>
          <w:p w14:paraId="10CF3719">
            <w:pPr>
              <w:pStyle w:val="6"/>
              <w:spacing w:before="98" w:line="221" w:lineRule="auto"/>
              <w:ind w:left="122"/>
              <w:rPr>
                <w:rFonts w:hint="eastAsia" w:ascii="宋体" w:hAnsi="宋体" w:eastAsia="宋体" w:cs="宋体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20"/>
                <w:szCs w:val="20"/>
                <w14:ligatures w14:val="none"/>
              </w:rPr>
              <w:t>技术职称</w:t>
            </w:r>
          </w:p>
        </w:tc>
        <w:tc>
          <w:tcPr>
            <w:tcW w:w="2186" w:type="dxa"/>
            <w:shd w:val="clear" w:color="auto" w:fill="D7D7D7" w:themeFill="background1" w:themeFillShade="D8"/>
          </w:tcPr>
          <w:p w14:paraId="78818036">
            <w:pPr>
              <w:pStyle w:val="6"/>
              <w:spacing w:before="98" w:line="223" w:lineRule="auto"/>
              <w:ind w:left="121"/>
              <w:rPr>
                <w:rFonts w:hint="eastAsia" w:ascii="宋体" w:hAnsi="宋体" w:eastAsia="宋体" w:cs="宋体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20"/>
                <w:szCs w:val="20"/>
                <w14:ligatures w14:val="none"/>
              </w:rPr>
              <w:t>社会任职</w:t>
            </w:r>
          </w:p>
        </w:tc>
        <w:tc>
          <w:tcPr>
            <w:tcW w:w="1982" w:type="dxa"/>
            <w:shd w:val="clear" w:color="auto" w:fill="D7D7D7" w:themeFill="background1" w:themeFillShade="D8"/>
          </w:tcPr>
          <w:p w14:paraId="1B20986C">
            <w:pPr>
              <w:pStyle w:val="6"/>
              <w:spacing w:before="98" w:line="224" w:lineRule="auto"/>
              <w:ind w:left="125"/>
              <w:rPr>
                <w:rFonts w:hint="eastAsia" w:ascii="宋体" w:hAnsi="宋体" w:eastAsia="宋体" w:cs="宋体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20"/>
                <w:szCs w:val="20"/>
                <w14:ligatures w14:val="none"/>
              </w:rPr>
              <w:t>项目分工</w:t>
            </w:r>
          </w:p>
        </w:tc>
      </w:tr>
      <w:tr w14:paraId="419C4A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2" w:type="dxa"/>
            <w:vAlign w:val="center"/>
          </w:tcPr>
          <w:p w14:paraId="0465F9C2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孙宏玉</w:t>
            </w:r>
          </w:p>
        </w:tc>
        <w:tc>
          <w:tcPr>
            <w:tcW w:w="1686" w:type="dxa"/>
            <w:vAlign w:val="center"/>
          </w:tcPr>
          <w:p w14:paraId="572B2E37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北京大学</w:t>
            </w:r>
          </w:p>
        </w:tc>
        <w:tc>
          <w:tcPr>
            <w:tcW w:w="1067" w:type="dxa"/>
            <w:vAlign w:val="center"/>
          </w:tcPr>
          <w:p w14:paraId="2E98CA4D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教研室主任</w:t>
            </w:r>
          </w:p>
        </w:tc>
        <w:tc>
          <w:tcPr>
            <w:tcW w:w="960" w:type="dxa"/>
            <w:vAlign w:val="center"/>
          </w:tcPr>
          <w:p w14:paraId="3695A90A">
            <w:pPr>
              <w:rPr>
                <w:rFonts w:hint="eastAsia" w:ascii="宋体" w:hAnsi="宋体" w:eastAsia="宋体" w:cs="宋体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教授</w:t>
            </w:r>
          </w:p>
        </w:tc>
        <w:tc>
          <w:tcPr>
            <w:tcW w:w="2186" w:type="dxa"/>
            <w:vAlign w:val="center"/>
          </w:tcPr>
          <w:p w14:paraId="2682BFE6">
            <w:pPr>
              <w:rPr>
                <w:rFonts w:hint="eastAsia" w:ascii="宋体" w:hAnsi="宋体" w:eastAsia="宋体" w:cs="宋体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教育部护理教指委秘书长</w:t>
            </w:r>
          </w:p>
        </w:tc>
        <w:tc>
          <w:tcPr>
            <w:tcW w:w="1982" w:type="dxa"/>
            <w:vAlign w:val="center"/>
          </w:tcPr>
          <w:p w14:paraId="0108972D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项目设计、组织与实施</w:t>
            </w:r>
          </w:p>
        </w:tc>
      </w:tr>
      <w:tr w14:paraId="2CC90A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2" w:type="dxa"/>
            <w:vAlign w:val="center"/>
          </w:tcPr>
          <w:p w14:paraId="428FFAB1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王耀刚</w:t>
            </w:r>
          </w:p>
        </w:tc>
        <w:tc>
          <w:tcPr>
            <w:tcW w:w="1686" w:type="dxa"/>
            <w:vAlign w:val="center"/>
          </w:tcPr>
          <w:p w14:paraId="36507527">
            <w:pPr>
              <w:rPr>
                <w:rFonts w:hint="eastAsia" w:ascii="宋体" w:hAnsi="宋体" w:eastAsia="宋体" w:cs="宋体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天津中医药大学</w:t>
            </w:r>
          </w:p>
        </w:tc>
        <w:tc>
          <w:tcPr>
            <w:tcW w:w="1067" w:type="dxa"/>
            <w:vAlign w:val="center"/>
          </w:tcPr>
          <w:p w14:paraId="515B6784">
            <w:pP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副校长</w:t>
            </w:r>
          </w:p>
        </w:tc>
        <w:tc>
          <w:tcPr>
            <w:tcW w:w="960" w:type="dxa"/>
            <w:vAlign w:val="center"/>
          </w:tcPr>
          <w:p w14:paraId="7697AC56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教授</w:t>
            </w:r>
          </w:p>
        </w:tc>
        <w:tc>
          <w:tcPr>
            <w:tcW w:w="2186" w:type="dxa"/>
            <w:vAlign w:val="center"/>
          </w:tcPr>
          <w:p w14:paraId="75DE7094">
            <w:pPr>
              <w:rPr>
                <w:rFonts w:hint="eastAsia" w:ascii="宋体" w:hAnsi="宋体" w:eastAsia="宋体" w:cs="宋体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14:ligatures w14:val="none"/>
              </w:rPr>
              <w:t>中国教育国际交流协会国际医学教育专业委员会执行理事长</w:t>
            </w:r>
          </w:p>
        </w:tc>
        <w:tc>
          <w:tcPr>
            <w:tcW w:w="1982" w:type="dxa"/>
            <w:vAlign w:val="center"/>
          </w:tcPr>
          <w:p w14:paraId="1EF08F6F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项目设计、组织与实施</w:t>
            </w:r>
          </w:p>
        </w:tc>
      </w:tr>
      <w:tr w14:paraId="398D66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2" w:type="dxa"/>
            <w:vAlign w:val="center"/>
          </w:tcPr>
          <w:p w14:paraId="420B464C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卢守四</w:t>
            </w:r>
          </w:p>
        </w:tc>
        <w:tc>
          <w:tcPr>
            <w:tcW w:w="1686" w:type="dxa"/>
            <w:vAlign w:val="center"/>
          </w:tcPr>
          <w:p w14:paraId="3411EDD6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中国康复研究中心</w:t>
            </w:r>
          </w:p>
        </w:tc>
        <w:tc>
          <w:tcPr>
            <w:tcW w:w="1067" w:type="dxa"/>
            <w:vAlign w:val="center"/>
          </w:tcPr>
          <w:p w14:paraId="72FC675D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处长</w:t>
            </w:r>
          </w:p>
        </w:tc>
        <w:tc>
          <w:tcPr>
            <w:tcW w:w="960" w:type="dxa"/>
            <w:vAlign w:val="center"/>
          </w:tcPr>
          <w:p w14:paraId="2EE62708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研究员</w:t>
            </w:r>
          </w:p>
        </w:tc>
        <w:tc>
          <w:tcPr>
            <w:tcW w:w="2186" w:type="dxa"/>
            <w:vAlign w:val="center"/>
          </w:tcPr>
          <w:p w14:paraId="64A4928A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中国残疾人康复协会器械临床试验质量控制专委会主任委员</w:t>
            </w:r>
          </w:p>
        </w:tc>
        <w:tc>
          <w:tcPr>
            <w:tcW w:w="1982" w:type="dxa"/>
            <w:vAlign w:val="center"/>
          </w:tcPr>
          <w:p w14:paraId="4901CFD7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项目设计、组织与实施</w:t>
            </w:r>
          </w:p>
        </w:tc>
      </w:tr>
      <w:tr w14:paraId="0F2D97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2" w:type="dxa"/>
            <w:vAlign w:val="center"/>
          </w:tcPr>
          <w:p w14:paraId="0B81E809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吴俊慧</w:t>
            </w:r>
          </w:p>
        </w:tc>
        <w:tc>
          <w:tcPr>
            <w:tcW w:w="1686" w:type="dxa"/>
            <w:vAlign w:val="center"/>
          </w:tcPr>
          <w:p w14:paraId="414ABABF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北京大学</w:t>
            </w:r>
          </w:p>
        </w:tc>
        <w:tc>
          <w:tcPr>
            <w:tcW w:w="1067" w:type="dxa"/>
            <w:vAlign w:val="center"/>
          </w:tcPr>
          <w:p w14:paraId="64A97372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教师</w:t>
            </w:r>
          </w:p>
        </w:tc>
        <w:tc>
          <w:tcPr>
            <w:tcW w:w="960" w:type="dxa"/>
            <w:vAlign w:val="center"/>
          </w:tcPr>
          <w:p w14:paraId="3D4B2FE7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讲师</w:t>
            </w:r>
          </w:p>
        </w:tc>
        <w:tc>
          <w:tcPr>
            <w:tcW w:w="2186" w:type="dxa"/>
            <w:vAlign w:val="center"/>
          </w:tcPr>
          <w:p w14:paraId="154E9316">
            <w:pPr>
              <w:rPr>
                <w:rFonts w:hint="default" w:ascii="宋体" w:hAnsi="宋体" w:eastAsia="宋体" w:cs="宋体"/>
                <w:sz w:val="20"/>
                <w:szCs w:val="20"/>
                <w:lang w:val="en-US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中国遗传学会代谢遗传分会委员</w:t>
            </w:r>
          </w:p>
        </w:tc>
        <w:tc>
          <w:tcPr>
            <w:tcW w:w="1982" w:type="dxa"/>
            <w:vAlign w:val="center"/>
          </w:tcPr>
          <w:p w14:paraId="05C65F53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项目设计、组织与实施、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服务技术标准制定</w:t>
            </w:r>
          </w:p>
        </w:tc>
      </w:tr>
      <w:tr w14:paraId="473B10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2" w:type="dxa"/>
            <w:vAlign w:val="center"/>
          </w:tcPr>
          <w:p w14:paraId="5428FB62">
            <w:pP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罗利</w:t>
            </w:r>
          </w:p>
        </w:tc>
        <w:tc>
          <w:tcPr>
            <w:tcW w:w="1686" w:type="dxa"/>
            <w:vAlign w:val="center"/>
          </w:tcPr>
          <w:p w14:paraId="27E12645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四川大学</w:t>
            </w:r>
          </w:p>
        </w:tc>
        <w:tc>
          <w:tcPr>
            <w:tcW w:w="1067" w:type="dxa"/>
            <w:vAlign w:val="center"/>
          </w:tcPr>
          <w:p w14:paraId="3574E728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所长</w:t>
            </w:r>
          </w:p>
        </w:tc>
        <w:tc>
          <w:tcPr>
            <w:tcW w:w="960" w:type="dxa"/>
            <w:vAlign w:val="center"/>
          </w:tcPr>
          <w:p w14:paraId="7F34E42E">
            <w:pP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教授</w:t>
            </w:r>
          </w:p>
        </w:tc>
        <w:tc>
          <w:tcPr>
            <w:tcW w:w="2186" w:type="dxa"/>
            <w:vAlign w:val="center"/>
          </w:tcPr>
          <w:p w14:paraId="50B978A5">
            <w:pPr>
              <w:rPr>
                <w:rFonts w:hint="eastAsia" w:ascii="宋体" w:hAnsi="宋体" w:eastAsia="宋体" w:cs="宋体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14:ligatures w14:val="none"/>
              </w:rPr>
              <w:t>中国运筹学学会医疗运作管理分会副理事长</w:t>
            </w:r>
          </w:p>
        </w:tc>
        <w:tc>
          <w:tcPr>
            <w:tcW w:w="1982" w:type="dxa"/>
            <w:vAlign w:val="center"/>
          </w:tcPr>
          <w:p w14:paraId="0592B11B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项目组织与实施、标准修改补充</w:t>
            </w:r>
          </w:p>
        </w:tc>
      </w:tr>
      <w:tr w14:paraId="3384B4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2" w:type="dxa"/>
            <w:vAlign w:val="center"/>
          </w:tcPr>
          <w:p w14:paraId="0841CC97">
            <w:pP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周芳</w:t>
            </w:r>
          </w:p>
        </w:tc>
        <w:tc>
          <w:tcPr>
            <w:tcW w:w="1686" w:type="dxa"/>
            <w:vAlign w:val="center"/>
          </w:tcPr>
          <w:p w14:paraId="0B6705D3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徐州医科大学</w:t>
            </w:r>
          </w:p>
        </w:tc>
        <w:tc>
          <w:tcPr>
            <w:tcW w:w="1067" w:type="dxa"/>
            <w:vAlign w:val="center"/>
          </w:tcPr>
          <w:p w14:paraId="49921591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院长</w:t>
            </w:r>
          </w:p>
        </w:tc>
        <w:tc>
          <w:tcPr>
            <w:tcW w:w="960" w:type="dxa"/>
            <w:vAlign w:val="center"/>
          </w:tcPr>
          <w:p w14:paraId="46430557">
            <w:pP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教授</w:t>
            </w:r>
          </w:p>
        </w:tc>
        <w:tc>
          <w:tcPr>
            <w:tcW w:w="2186" w:type="dxa"/>
            <w:vAlign w:val="center"/>
          </w:tcPr>
          <w:p w14:paraId="28D56AE0">
            <w:pPr>
              <w:rPr>
                <w:rFonts w:hint="eastAsia" w:ascii="宋体" w:hAnsi="宋体" w:eastAsia="宋体" w:cs="宋体"/>
                <w:sz w:val="20"/>
                <w:szCs w:val="20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14:ligatures w14:val="none"/>
              </w:rPr>
              <w:t>中华护理学会教育专委会青年委员主委</w:t>
            </w:r>
          </w:p>
        </w:tc>
        <w:tc>
          <w:tcPr>
            <w:tcW w:w="1982" w:type="dxa"/>
            <w:vAlign w:val="center"/>
          </w:tcPr>
          <w:p w14:paraId="376E71E9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项目组织与实施、标准修改补充</w:t>
            </w:r>
          </w:p>
        </w:tc>
      </w:tr>
      <w:tr w14:paraId="475A91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2" w:type="dxa"/>
            <w:vAlign w:val="center"/>
          </w:tcPr>
          <w:p w14:paraId="45AFE5BC">
            <w:pP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周迎生</w:t>
            </w:r>
          </w:p>
        </w:tc>
        <w:tc>
          <w:tcPr>
            <w:tcW w:w="1686" w:type="dxa"/>
            <w:vAlign w:val="center"/>
          </w:tcPr>
          <w:p w14:paraId="2ED4A39D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首都医科大学附属北京安贞医院</w:t>
            </w:r>
          </w:p>
        </w:tc>
        <w:tc>
          <w:tcPr>
            <w:tcW w:w="1067" w:type="dxa"/>
            <w:vAlign w:val="center"/>
          </w:tcPr>
          <w:p w14:paraId="508D9E96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</w:p>
        </w:tc>
        <w:tc>
          <w:tcPr>
            <w:tcW w:w="960" w:type="dxa"/>
            <w:vAlign w:val="center"/>
          </w:tcPr>
          <w:p w14:paraId="5FB5E2F0">
            <w:pP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教授</w:t>
            </w:r>
          </w:p>
        </w:tc>
        <w:tc>
          <w:tcPr>
            <w:tcW w:w="2186" w:type="dxa"/>
            <w:vAlign w:val="center"/>
          </w:tcPr>
          <w:p w14:paraId="1B464940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中华预防医学会糖尿病防控专委会主任委员</w:t>
            </w:r>
          </w:p>
        </w:tc>
        <w:tc>
          <w:tcPr>
            <w:tcW w:w="1982" w:type="dxa"/>
            <w:vAlign w:val="center"/>
          </w:tcPr>
          <w:p w14:paraId="7F977B63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项目组织与实施、标准修改补充</w:t>
            </w:r>
          </w:p>
        </w:tc>
      </w:tr>
      <w:tr w14:paraId="630DDB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2" w:type="dxa"/>
            <w:vAlign w:val="center"/>
          </w:tcPr>
          <w:p w14:paraId="0BFAC8FE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邓仁丽</w:t>
            </w:r>
          </w:p>
        </w:tc>
        <w:tc>
          <w:tcPr>
            <w:tcW w:w="1686" w:type="dxa"/>
            <w:vAlign w:val="center"/>
          </w:tcPr>
          <w:p w14:paraId="6D73A4A3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遵义医科大学</w:t>
            </w:r>
          </w:p>
        </w:tc>
        <w:tc>
          <w:tcPr>
            <w:tcW w:w="1067" w:type="dxa"/>
            <w:vAlign w:val="center"/>
          </w:tcPr>
          <w:p w14:paraId="5CB0DE6F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院长</w:t>
            </w:r>
          </w:p>
        </w:tc>
        <w:tc>
          <w:tcPr>
            <w:tcW w:w="960" w:type="dxa"/>
            <w:vAlign w:val="center"/>
          </w:tcPr>
          <w:p w14:paraId="3BA6E4F2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教授</w:t>
            </w:r>
          </w:p>
        </w:tc>
        <w:tc>
          <w:tcPr>
            <w:tcW w:w="2186" w:type="dxa"/>
            <w:vAlign w:val="center"/>
          </w:tcPr>
          <w:p w14:paraId="3627AE72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0"/>
                <w:szCs w:val="20"/>
                <w14:ligatures w14:val="none"/>
              </w:rPr>
              <w:t>中华预防医学会卫生保健分会委员</w:t>
            </w:r>
          </w:p>
        </w:tc>
        <w:tc>
          <w:tcPr>
            <w:tcW w:w="1982" w:type="dxa"/>
            <w:vAlign w:val="center"/>
          </w:tcPr>
          <w:p w14:paraId="6A4A99CB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项目组织与实施、标准修改补充</w:t>
            </w:r>
          </w:p>
        </w:tc>
      </w:tr>
      <w:tr w14:paraId="1C6858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2" w:type="dxa"/>
            <w:vAlign w:val="center"/>
          </w:tcPr>
          <w:p w14:paraId="4313D1AA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芦文丽</w:t>
            </w:r>
          </w:p>
        </w:tc>
        <w:tc>
          <w:tcPr>
            <w:tcW w:w="1686" w:type="dxa"/>
            <w:vAlign w:val="center"/>
          </w:tcPr>
          <w:p w14:paraId="30948FF9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天津医科大学</w:t>
            </w:r>
          </w:p>
        </w:tc>
        <w:tc>
          <w:tcPr>
            <w:tcW w:w="1067" w:type="dxa"/>
            <w:vAlign w:val="center"/>
          </w:tcPr>
          <w:p w14:paraId="766C6864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主任</w:t>
            </w:r>
          </w:p>
        </w:tc>
        <w:tc>
          <w:tcPr>
            <w:tcW w:w="960" w:type="dxa"/>
            <w:vAlign w:val="center"/>
          </w:tcPr>
          <w:p w14:paraId="30441CCA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教授</w:t>
            </w:r>
          </w:p>
        </w:tc>
        <w:tc>
          <w:tcPr>
            <w:tcW w:w="2186" w:type="dxa"/>
            <w:vAlign w:val="center"/>
          </w:tcPr>
          <w:p w14:paraId="111947FF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中国社区卫生协会会员</w:t>
            </w:r>
          </w:p>
        </w:tc>
        <w:tc>
          <w:tcPr>
            <w:tcW w:w="1982" w:type="dxa"/>
            <w:vAlign w:val="center"/>
          </w:tcPr>
          <w:p w14:paraId="1333D2BA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项目组织与实施、标准修改补充</w:t>
            </w:r>
          </w:p>
        </w:tc>
      </w:tr>
      <w:tr w14:paraId="17EA93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2" w:type="dxa"/>
            <w:vAlign w:val="center"/>
          </w:tcPr>
          <w:p w14:paraId="095A4BA3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李华南</w:t>
            </w:r>
          </w:p>
        </w:tc>
        <w:tc>
          <w:tcPr>
            <w:tcW w:w="1686" w:type="dxa"/>
            <w:vAlign w:val="center"/>
          </w:tcPr>
          <w:p w14:paraId="4611A588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天津中医药大学第一附属医院</w:t>
            </w:r>
          </w:p>
        </w:tc>
        <w:tc>
          <w:tcPr>
            <w:tcW w:w="1067" w:type="dxa"/>
            <w:vAlign w:val="center"/>
          </w:tcPr>
          <w:p w14:paraId="0EBFA573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处长</w:t>
            </w:r>
          </w:p>
        </w:tc>
        <w:tc>
          <w:tcPr>
            <w:tcW w:w="960" w:type="dxa"/>
            <w:vAlign w:val="center"/>
          </w:tcPr>
          <w:p w14:paraId="5CA48AE8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教授</w:t>
            </w:r>
          </w:p>
        </w:tc>
        <w:tc>
          <w:tcPr>
            <w:tcW w:w="2186" w:type="dxa"/>
            <w:vAlign w:val="center"/>
          </w:tcPr>
          <w:p w14:paraId="3D7A0252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中华中医药学会推拿分会副秘书长</w:t>
            </w:r>
          </w:p>
        </w:tc>
        <w:tc>
          <w:tcPr>
            <w:tcW w:w="1982" w:type="dxa"/>
            <w:vAlign w:val="center"/>
          </w:tcPr>
          <w:p w14:paraId="4D418A93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标准修改补充、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标准推广与应用</w:t>
            </w:r>
          </w:p>
        </w:tc>
      </w:tr>
      <w:tr w14:paraId="551675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2" w:type="dxa"/>
            <w:vAlign w:val="center"/>
          </w:tcPr>
          <w:p w14:paraId="6EEA9570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安占天</w:t>
            </w:r>
          </w:p>
        </w:tc>
        <w:tc>
          <w:tcPr>
            <w:tcW w:w="1686" w:type="dxa"/>
            <w:vAlign w:val="center"/>
          </w:tcPr>
          <w:p w14:paraId="34F28750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新疆哈密十三师红星医院</w:t>
            </w:r>
          </w:p>
        </w:tc>
        <w:tc>
          <w:tcPr>
            <w:tcW w:w="1067" w:type="dxa"/>
            <w:vAlign w:val="center"/>
          </w:tcPr>
          <w:p w14:paraId="7B2923A3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院长</w:t>
            </w:r>
          </w:p>
        </w:tc>
        <w:tc>
          <w:tcPr>
            <w:tcW w:w="960" w:type="dxa"/>
            <w:vAlign w:val="center"/>
          </w:tcPr>
          <w:p w14:paraId="37A3E1EA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主任医师</w:t>
            </w:r>
          </w:p>
        </w:tc>
        <w:tc>
          <w:tcPr>
            <w:tcW w:w="2186" w:type="dxa"/>
            <w:vAlign w:val="center"/>
          </w:tcPr>
          <w:p w14:paraId="1B32C705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中国研究型医院学会微无创诊疗专业委员会副主任委员</w:t>
            </w:r>
          </w:p>
        </w:tc>
        <w:tc>
          <w:tcPr>
            <w:tcW w:w="1982" w:type="dxa"/>
            <w:vAlign w:val="center"/>
          </w:tcPr>
          <w:p w14:paraId="3CD22ECE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标准修改补充、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标准推广与应用</w:t>
            </w:r>
          </w:p>
        </w:tc>
      </w:tr>
      <w:tr w14:paraId="15FBEA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2" w:type="dxa"/>
            <w:vAlign w:val="center"/>
          </w:tcPr>
          <w:p w14:paraId="738132F0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王勇勇</w:t>
            </w:r>
          </w:p>
        </w:tc>
        <w:tc>
          <w:tcPr>
            <w:tcW w:w="1686" w:type="dxa"/>
            <w:vAlign w:val="center"/>
          </w:tcPr>
          <w:p w14:paraId="3C9E2B42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陕西省康复医院</w:t>
            </w:r>
          </w:p>
        </w:tc>
        <w:tc>
          <w:tcPr>
            <w:tcW w:w="1067" w:type="dxa"/>
            <w:vAlign w:val="center"/>
          </w:tcPr>
          <w:p w14:paraId="7516DC66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副院长</w:t>
            </w:r>
          </w:p>
        </w:tc>
        <w:tc>
          <w:tcPr>
            <w:tcW w:w="960" w:type="dxa"/>
            <w:vAlign w:val="center"/>
          </w:tcPr>
          <w:p w14:paraId="1D0614F3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副主任治疗师</w:t>
            </w:r>
          </w:p>
        </w:tc>
        <w:tc>
          <w:tcPr>
            <w:tcW w:w="2186" w:type="dxa"/>
            <w:vAlign w:val="center"/>
          </w:tcPr>
          <w:p w14:paraId="123EB82E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中国康复医学会循证康复医学工作委员会委员兼秘书长</w:t>
            </w:r>
          </w:p>
        </w:tc>
        <w:tc>
          <w:tcPr>
            <w:tcW w:w="1982" w:type="dxa"/>
            <w:vAlign w:val="center"/>
          </w:tcPr>
          <w:p w14:paraId="54AB27C4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标准修改补充、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标准推广与应用</w:t>
            </w:r>
          </w:p>
        </w:tc>
      </w:tr>
      <w:tr w14:paraId="4180AA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2" w:type="dxa"/>
            <w:vAlign w:val="center"/>
          </w:tcPr>
          <w:p w14:paraId="6D380630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卜丽</w:t>
            </w:r>
          </w:p>
        </w:tc>
        <w:tc>
          <w:tcPr>
            <w:tcW w:w="1686" w:type="dxa"/>
            <w:vAlign w:val="center"/>
          </w:tcPr>
          <w:p w14:paraId="12EF21E4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辽宁省金秋医院</w:t>
            </w:r>
          </w:p>
        </w:tc>
        <w:tc>
          <w:tcPr>
            <w:tcW w:w="1067" w:type="dxa"/>
            <w:vAlign w:val="center"/>
          </w:tcPr>
          <w:p w14:paraId="24718913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副院长</w:t>
            </w:r>
          </w:p>
        </w:tc>
        <w:tc>
          <w:tcPr>
            <w:tcW w:w="960" w:type="dxa"/>
            <w:vAlign w:val="center"/>
          </w:tcPr>
          <w:p w14:paraId="36A6A93A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主任医师</w:t>
            </w:r>
          </w:p>
        </w:tc>
        <w:tc>
          <w:tcPr>
            <w:tcW w:w="2186" w:type="dxa"/>
            <w:vAlign w:val="center"/>
          </w:tcPr>
          <w:p w14:paraId="51DA1CE9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中国老年学和老年医学学会老年医学科建设分会副主任委员</w:t>
            </w:r>
          </w:p>
        </w:tc>
        <w:tc>
          <w:tcPr>
            <w:tcW w:w="1982" w:type="dxa"/>
            <w:vAlign w:val="center"/>
          </w:tcPr>
          <w:p w14:paraId="29B09A69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标准修改补充、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标准推广与应用</w:t>
            </w:r>
          </w:p>
        </w:tc>
      </w:tr>
      <w:tr w14:paraId="5D74A0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2" w:type="dxa"/>
            <w:vAlign w:val="center"/>
          </w:tcPr>
          <w:p w14:paraId="38726DC8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陈大军</w:t>
            </w:r>
          </w:p>
        </w:tc>
        <w:tc>
          <w:tcPr>
            <w:tcW w:w="1686" w:type="dxa"/>
            <w:vAlign w:val="center"/>
          </w:tcPr>
          <w:p w14:paraId="33811E82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广东省工伤康复医院</w:t>
            </w:r>
          </w:p>
        </w:tc>
        <w:tc>
          <w:tcPr>
            <w:tcW w:w="1067" w:type="dxa"/>
            <w:vAlign w:val="center"/>
          </w:tcPr>
          <w:p w14:paraId="68A5D8DE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院长</w:t>
            </w:r>
          </w:p>
        </w:tc>
        <w:tc>
          <w:tcPr>
            <w:tcW w:w="960" w:type="dxa"/>
            <w:vAlign w:val="center"/>
          </w:tcPr>
          <w:p w14:paraId="4C9A83C5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主任医师</w:t>
            </w:r>
          </w:p>
        </w:tc>
        <w:tc>
          <w:tcPr>
            <w:tcW w:w="2186" w:type="dxa"/>
            <w:vAlign w:val="center"/>
          </w:tcPr>
          <w:p w14:paraId="3C7E925E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无</w:t>
            </w:r>
          </w:p>
        </w:tc>
        <w:tc>
          <w:tcPr>
            <w:tcW w:w="1982" w:type="dxa"/>
            <w:vAlign w:val="center"/>
          </w:tcPr>
          <w:p w14:paraId="1F8D1732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标准修改补充、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标准推广与应用</w:t>
            </w:r>
          </w:p>
        </w:tc>
      </w:tr>
      <w:tr w14:paraId="6C17F8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2" w:type="dxa"/>
            <w:vAlign w:val="center"/>
          </w:tcPr>
          <w:p w14:paraId="74EAE751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邵鸿生</w:t>
            </w:r>
          </w:p>
        </w:tc>
        <w:tc>
          <w:tcPr>
            <w:tcW w:w="1686" w:type="dxa"/>
            <w:vAlign w:val="center"/>
          </w:tcPr>
          <w:p w14:paraId="4C584272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甘肃省康复中心医院</w:t>
            </w:r>
          </w:p>
        </w:tc>
        <w:tc>
          <w:tcPr>
            <w:tcW w:w="1067" w:type="dxa"/>
            <w:vAlign w:val="center"/>
          </w:tcPr>
          <w:p w14:paraId="4CF5DE1E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主任</w:t>
            </w:r>
          </w:p>
        </w:tc>
        <w:tc>
          <w:tcPr>
            <w:tcW w:w="960" w:type="dxa"/>
            <w:vAlign w:val="center"/>
          </w:tcPr>
          <w:p w14:paraId="27AC54AF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主任医师</w:t>
            </w:r>
          </w:p>
        </w:tc>
        <w:tc>
          <w:tcPr>
            <w:tcW w:w="2186" w:type="dxa"/>
            <w:vAlign w:val="center"/>
          </w:tcPr>
          <w:p w14:paraId="6C2F4F1F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中国医师协会介入分会副主任委员</w:t>
            </w:r>
          </w:p>
        </w:tc>
        <w:tc>
          <w:tcPr>
            <w:tcW w:w="1982" w:type="dxa"/>
            <w:vAlign w:val="center"/>
          </w:tcPr>
          <w:p w14:paraId="0F1EC543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标准修改补充、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标准推广与应用</w:t>
            </w:r>
          </w:p>
        </w:tc>
      </w:tr>
      <w:tr w14:paraId="2ADEBF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2" w:type="dxa"/>
            <w:vAlign w:val="center"/>
          </w:tcPr>
          <w:p w14:paraId="456AA443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董超群</w:t>
            </w:r>
          </w:p>
        </w:tc>
        <w:tc>
          <w:tcPr>
            <w:tcW w:w="1686" w:type="dxa"/>
            <w:vAlign w:val="center"/>
          </w:tcPr>
          <w:p w14:paraId="1179E3A0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温州医科大学</w:t>
            </w:r>
          </w:p>
        </w:tc>
        <w:tc>
          <w:tcPr>
            <w:tcW w:w="1067" w:type="dxa"/>
            <w:vAlign w:val="center"/>
          </w:tcPr>
          <w:p w14:paraId="574CD06A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院长</w:t>
            </w:r>
          </w:p>
        </w:tc>
        <w:tc>
          <w:tcPr>
            <w:tcW w:w="960" w:type="dxa"/>
            <w:vAlign w:val="center"/>
          </w:tcPr>
          <w:p w14:paraId="659EB1B7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教授</w:t>
            </w:r>
          </w:p>
        </w:tc>
        <w:tc>
          <w:tcPr>
            <w:tcW w:w="2186" w:type="dxa"/>
            <w:vAlign w:val="center"/>
          </w:tcPr>
          <w:p w14:paraId="713F0077">
            <w:pP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浙江省护理学会心理卫生专业委员会委员</w:t>
            </w:r>
          </w:p>
        </w:tc>
        <w:tc>
          <w:tcPr>
            <w:tcW w:w="1982" w:type="dxa"/>
            <w:vAlign w:val="center"/>
          </w:tcPr>
          <w:p w14:paraId="2FFAC405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标准修改补充、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标准推广与应用</w:t>
            </w:r>
          </w:p>
        </w:tc>
      </w:tr>
      <w:tr w14:paraId="3C6BF4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2" w:type="dxa"/>
            <w:vAlign w:val="center"/>
          </w:tcPr>
          <w:p w14:paraId="498421AC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徐彬</w:t>
            </w:r>
          </w:p>
        </w:tc>
        <w:tc>
          <w:tcPr>
            <w:tcW w:w="1686" w:type="dxa"/>
            <w:vAlign w:val="center"/>
          </w:tcPr>
          <w:p w14:paraId="1249CD21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浙江省康复医疗中心</w:t>
            </w:r>
          </w:p>
        </w:tc>
        <w:tc>
          <w:tcPr>
            <w:tcW w:w="1067" w:type="dxa"/>
            <w:vAlign w:val="center"/>
          </w:tcPr>
          <w:p w14:paraId="0B14425F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副主任</w:t>
            </w:r>
          </w:p>
        </w:tc>
        <w:tc>
          <w:tcPr>
            <w:tcW w:w="960" w:type="dxa"/>
            <w:vAlign w:val="center"/>
          </w:tcPr>
          <w:p w14:paraId="03F9F341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副主任医师</w:t>
            </w:r>
          </w:p>
        </w:tc>
        <w:tc>
          <w:tcPr>
            <w:tcW w:w="2186" w:type="dxa"/>
            <w:vAlign w:val="center"/>
          </w:tcPr>
          <w:p w14:paraId="4861E9DA">
            <w:pP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中国康复医学会修复重建外科专业委员会委员</w:t>
            </w:r>
          </w:p>
        </w:tc>
        <w:tc>
          <w:tcPr>
            <w:tcW w:w="1982" w:type="dxa"/>
            <w:vAlign w:val="center"/>
          </w:tcPr>
          <w:p w14:paraId="78F1837A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标准修改补充、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标准推广与应用</w:t>
            </w:r>
          </w:p>
        </w:tc>
      </w:tr>
      <w:tr w14:paraId="34237E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2" w:type="dxa"/>
            <w:vAlign w:val="center"/>
          </w:tcPr>
          <w:p w14:paraId="74CB1E13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  <w:t>段熠</w:t>
            </w:r>
          </w:p>
        </w:tc>
        <w:tc>
          <w:tcPr>
            <w:tcW w:w="1686" w:type="dxa"/>
            <w:vAlign w:val="center"/>
          </w:tcPr>
          <w:p w14:paraId="778CC7E8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北京大学</w:t>
            </w:r>
          </w:p>
        </w:tc>
        <w:tc>
          <w:tcPr>
            <w:tcW w:w="1067" w:type="dxa"/>
            <w:vAlign w:val="center"/>
          </w:tcPr>
          <w:p w14:paraId="5B752C26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无</w:t>
            </w:r>
          </w:p>
        </w:tc>
        <w:tc>
          <w:tcPr>
            <w:tcW w:w="960" w:type="dxa"/>
            <w:vAlign w:val="center"/>
          </w:tcPr>
          <w:p w14:paraId="5F1BB44D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无</w:t>
            </w:r>
          </w:p>
        </w:tc>
        <w:tc>
          <w:tcPr>
            <w:tcW w:w="2186" w:type="dxa"/>
            <w:vAlign w:val="center"/>
          </w:tcPr>
          <w:p w14:paraId="62406188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无</w:t>
            </w:r>
          </w:p>
        </w:tc>
        <w:tc>
          <w:tcPr>
            <w:tcW w:w="1982" w:type="dxa"/>
            <w:vAlign w:val="center"/>
          </w:tcPr>
          <w:p w14:paraId="3E9ECD84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服务技术标准制定</w:t>
            </w:r>
          </w:p>
        </w:tc>
      </w:tr>
      <w:tr w14:paraId="376488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2" w:type="dxa"/>
            <w:vAlign w:val="center"/>
          </w:tcPr>
          <w:p w14:paraId="3FFA52D8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朱文迪</w:t>
            </w:r>
          </w:p>
        </w:tc>
        <w:tc>
          <w:tcPr>
            <w:tcW w:w="1686" w:type="dxa"/>
            <w:vAlign w:val="center"/>
          </w:tcPr>
          <w:p w14:paraId="4EDCDCD9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北京大学</w:t>
            </w:r>
          </w:p>
        </w:tc>
        <w:tc>
          <w:tcPr>
            <w:tcW w:w="1067" w:type="dxa"/>
            <w:vAlign w:val="center"/>
          </w:tcPr>
          <w:p w14:paraId="1E57F5A0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无</w:t>
            </w:r>
          </w:p>
        </w:tc>
        <w:tc>
          <w:tcPr>
            <w:tcW w:w="960" w:type="dxa"/>
            <w:vAlign w:val="center"/>
          </w:tcPr>
          <w:p w14:paraId="362B4753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无</w:t>
            </w:r>
          </w:p>
        </w:tc>
        <w:tc>
          <w:tcPr>
            <w:tcW w:w="2186" w:type="dxa"/>
            <w:vAlign w:val="center"/>
          </w:tcPr>
          <w:p w14:paraId="22FBCE77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无</w:t>
            </w:r>
          </w:p>
        </w:tc>
        <w:tc>
          <w:tcPr>
            <w:tcW w:w="1982" w:type="dxa"/>
            <w:vAlign w:val="center"/>
          </w:tcPr>
          <w:p w14:paraId="47903EF6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服务技术标准制定</w:t>
            </w:r>
          </w:p>
        </w:tc>
      </w:tr>
      <w:tr w14:paraId="11F78A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2" w:type="dxa"/>
            <w:vAlign w:val="center"/>
          </w:tcPr>
          <w:p w14:paraId="51D8329F">
            <w:pP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赵云鹤</w:t>
            </w:r>
          </w:p>
        </w:tc>
        <w:tc>
          <w:tcPr>
            <w:tcW w:w="1686" w:type="dxa"/>
            <w:vAlign w:val="center"/>
          </w:tcPr>
          <w:p w14:paraId="402C86E2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北京大学</w:t>
            </w:r>
          </w:p>
        </w:tc>
        <w:tc>
          <w:tcPr>
            <w:tcW w:w="1067" w:type="dxa"/>
            <w:vAlign w:val="center"/>
          </w:tcPr>
          <w:p w14:paraId="18358403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无</w:t>
            </w:r>
          </w:p>
        </w:tc>
        <w:tc>
          <w:tcPr>
            <w:tcW w:w="960" w:type="dxa"/>
            <w:vAlign w:val="center"/>
          </w:tcPr>
          <w:p w14:paraId="450E8510">
            <w:pPr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无</w:t>
            </w:r>
          </w:p>
        </w:tc>
        <w:tc>
          <w:tcPr>
            <w:tcW w:w="2186" w:type="dxa"/>
            <w:vAlign w:val="center"/>
          </w:tcPr>
          <w:p w14:paraId="51EC8D07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无</w:t>
            </w:r>
          </w:p>
        </w:tc>
        <w:tc>
          <w:tcPr>
            <w:tcW w:w="1982" w:type="dxa"/>
            <w:vAlign w:val="center"/>
          </w:tcPr>
          <w:p w14:paraId="4105F90C"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  <w14:ligatures w14:val="none"/>
              </w:rPr>
              <w:t>服务技术标准制定</w:t>
            </w:r>
          </w:p>
        </w:tc>
      </w:tr>
    </w:tbl>
    <w:p w14:paraId="738997AF">
      <w:pPr>
        <w:numPr>
          <w:ilvl w:val="0"/>
          <w:numId w:val="0"/>
        </w:numPr>
        <w:spacing w:line="660" w:lineRule="exact"/>
        <w:outlineLvl w:val="0"/>
        <w:rPr>
          <w:rFonts w:hint="eastAsia" w:ascii="宋体" w:hAnsi="宋体" w:eastAsia="宋体" w:cs="Times New Roman"/>
          <w:b/>
          <w:bCs/>
          <w:sz w:val="24"/>
          <w:szCs w:val="24"/>
          <w14:ligatures w14:val="standardContextual"/>
        </w:rPr>
      </w:pPr>
    </w:p>
    <w:p w14:paraId="58BF49E6">
      <w:pPr>
        <w:spacing w:line="660" w:lineRule="exact"/>
        <w:outlineLvl w:val="0"/>
        <w:rPr>
          <w:rFonts w:hint="eastAsia" w:ascii="宋体" w:hAnsi="宋体" w:eastAsia="宋体" w:cs="Times New Roman"/>
          <w:b/>
          <w:bCs/>
          <w:sz w:val="24"/>
          <w:szCs w:val="24"/>
          <w14:ligatures w14:val="standardContextual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14:ligatures w14:val="standardContextual"/>
        </w:rPr>
        <w:t>（三）起草过程</w:t>
      </w:r>
    </w:p>
    <w:p w14:paraId="3D82D26C">
      <w:pPr>
        <w:widowControl/>
        <w:autoSpaceDE w:val="0"/>
        <w:autoSpaceDN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1.前期准备与立项阶段（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val="en-US" w:eastAsia="zh-CN" w:bidi="ar"/>
          <w14:ligatures w14:val="none"/>
        </w:rPr>
        <w:t xml:space="preserve">2025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年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val="en-US" w:eastAsia="zh-CN" w:bidi="ar"/>
          <w14:ligatures w14:val="none"/>
        </w:rPr>
        <w:t>1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月）</w:t>
      </w:r>
    </w:p>
    <w:p w14:paraId="2700A352">
      <w:pPr>
        <w:widowControl/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在充分调研国家慢病防治政策、基层慢病管理实践和相关标准基础上，明确制定重大慢病综合防治服务推广标准的必要性与可行性，完成立项申请与论证。</w:t>
      </w:r>
    </w:p>
    <w:p w14:paraId="539E86F8">
      <w:pPr>
        <w:widowControl/>
        <w:autoSpaceDE w:val="0"/>
        <w:autoSpaceDN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2.文献调研与政策分析阶段（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val="en-US" w:eastAsia="zh-CN" w:bidi="ar"/>
          <w14:ligatures w14:val="none"/>
        </w:rPr>
        <w:t>2025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年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val="en-US" w:eastAsia="zh-CN" w:bidi="ar"/>
          <w14:ligatures w14:val="none"/>
        </w:rPr>
        <w:t>2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val="en-US" w:eastAsia="zh-CN" w:bidi="ar"/>
          <w14:ligatures w14:val="none"/>
        </w:rPr>
        <w:t>-3月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）</w:t>
      </w:r>
    </w:p>
    <w:p w14:paraId="03ACB8D5">
      <w:pPr>
        <w:widowControl/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系统梳理国内外慢病防控、健康促进、分级诊疗、医防协同等相关研究成果与政策文件，重点分析现有慢病服务模式在推广层面存在的问题与不足，为标准框架设计提供依据。</w:t>
      </w:r>
    </w:p>
    <w:p w14:paraId="143B639A">
      <w:pPr>
        <w:widowControl/>
        <w:autoSpaceDE w:val="0"/>
        <w:autoSpaceDN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3.标准框架构建阶段（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val="en-US" w:eastAsia="zh-CN" w:bidi="ar"/>
          <w14:ligatures w14:val="none"/>
        </w:rPr>
        <w:t>2025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年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val="en-US" w:eastAsia="zh-CN" w:bidi="ar"/>
          <w14:ligatures w14:val="none"/>
        </w:rPr>
        <w:t>4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val="en-US" w:eastAsia="zh-CN" w:bidi="ar"/>
          <w14:ligatures w14:val="none"/>
        </w:rPr>
        <w:t>-6月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）</w:t>
      </w:r>
    </w:p>
    <w:p w14:paraId="4568C278">
      <w:pPr>
        <w:widowControl/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围绕“防、筛、管、治、康、护”六个核心环节，构建覆盖试点、示范与推广的整体技术路径，明确各阶段的目标、实施条件和技术要求</w:t>
      </w:r>
      <w:r>
        <w:rPr>
          <w:rFonts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。</w:t>
      </w:r>
    </w:p>
    <w:p w14:paraId="5EF93FEC">
      <w:pPr>
        <w:widowControl/>
        <w:autoSpaceDE w:val="0"/>
        <w:autoSpaceDN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4.标准文本起草阶段（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val="en-US" w:eastAsia="zh-CN" w:bidi="ar"/>
          <w14:ligatures w14:val="none"/>
        </w:rPr>
        <w:t>2025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年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val="en-US" w:eastAsia="zh-CN" w:bidi="ar"/>
          <w14:ligatures w14:val="none"/>
        </w:rPr>
        <w:t>7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val="en-US" w:eastAsia="zh-CN" w:bidi="ar"/>
          <w14:ligatures w14:val="none"/>
        </w:rPr>
        <w:t>-8月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）</w:t>
      </w:r>
    </w:p>
    <w:p w14:paraId="1B1621C5">
      <w:pPr>
        <w:widowControl/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依据 GB/T 1.1—2020《标准化工作导则》，形成标准初稿，对适用范围、术语定义、推广内容、推广原则、推广成效评估等内容进行系统编制</w:t>
      </w:r>
      <w:r>
        <w:rPr>
          <w:rFonts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。</w:t>
      </w:r>
    </w:p>
    <w:p w14:paraId="061BF3BE">
      <w:pPr>
        <w:widowControl/>
        <w:autoSpaceDE w:val="0"/>
        <w:autoSpaceDN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5.实证调研与案例验证（2025年8月—11月）</w:t>
      </w:r>
    </w:p>
    <w:p w14:paraId="2D505BFB">
      <w:pPr>
        <w:widowControl/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在北京、天津、陕西、四川、新疆、湖南、广西等试点地区开展标准适用性调研，结合实际服务场景对标准内容进行验证与优化。</w:t>
      </w:r>
    </w:p>
    <w:p w14:paraId="706A9944">
      <w:pPr>
        <w:widowControl/>
        <w:autoSpaceDE w:val="0"/>
        <w:autoSpaceDN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6.草案形成与内部修订（2025年12月）</w:t>
      </w:r>
    </w:p>
    <w:p w14:paraId="4D8F3C82">
      <w:pPr>
        <w:widowControl/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依据调研和研讨结果，对标准初稿进行多轮内部修订。</w:t>
      </w:r>
    </w:p>
    <w:p w14:paraId="123F68A2">
      <w:pPr>
        <w:widowControl/>
        <w:autoSpaceDE w:val="0"/>
        <w:autoSpaceDN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val="en-US" w:eastAsia="zh-CN" w:bidi="ar"/>
          <w14:ligatures w14:val="none"/>
        </w:rPr>
        <w:t>7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.编制说明撰写阶段（2026年1月）</w:t>
      </w:r>
    </w:p>
    <w:p w14:paraId="1BA227FD">
      <w:pPr>
        <w:widowControl/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围绕与相关规范性文件和其他标准的关系、国外相关规定和标准情况的对比说明、各项技术内容确定依据等，撰写编制说明。</w:t>
      </w:r>
    </w:p>
    <w:p w14:paraId="278F78DF">
      <w:pPr>
        <w:widowControl/>
        <w:autoSpaceDE w:val="0"/>
        <w:autoSpaceDN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val="en-US" w:eastAsia="zh-CN" w:bidi="ar"/>
          <w14:ligatures w14:val="none"/>
        </w:rPr>
        <w:t>8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.提交征求意见阶段（2026年2月）</w:t>
      </w:r>
    </w:p>
    <w:p w14:paraId="78E2A6CB">
      <w:pPr>
        <w:widowControl/>
        <w:autoSpaceDE w:val="0"/>
        <w:autoSpaceDN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将标准征求意见稿及相关材料提交中国民族卫生医药协会，发布征求意见函。</w:t>
      </w:r>
    </w:p>
    <w:p w14:paraId="0A4983B9">
      <w:pPr>
        <w:spacing w:line="660" w:lineRule="exact"/>
        <w:outlineLvl w:val="0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二、与相关规范性文件和其他标准的关系</w:t>
      </w:r>
    </w:p>
    <w:p w14:paraId="7AFC5F80">
      <w:pPr>
        <w:widowControl/>
        <w:autoSpaceDE w:val="0"/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本标准是在国家现行法律法规、政策文件及相关行业标准框架下制定的，与现有慢病防治和公共卫生服务标准形成衔接与补充。</w:t>
      </w:r>
    </w:p>
    <w:p w14:paraId="0E18FBAB">
      <w:pPr>
        <w:widowControl/>
        <w:autoSpaceDE w:val="0"/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在政策层面，本标准贯彻落实《“健康中国2030”规划纲要》《国家标准化发展纲要》《关于推进分级诊疗制度建设的指导意见》等文件精神，强调慢病防治关口前移、全周期管理和基层能力提升。在标准体系衔接方面，本标准参考并协调了疾病分类、慢病管理、医防融合、中西医结合诊疗、康复与照护等相关团体标准和行业规范，在不替代既有临床诊疗规范和管理制度的前提下，对慢病防治服务的推广路径、实施模式和评估方法进行了系统规范。</w:t>
      </w:r>
    </w:p>
    <w:p w14:paraId="61C9C154">
      <w:pPr>
        <w:widowControl/>
        <w:autoSpaceDE w:val="0"/>
        <w:autoSpaceDN w:val="0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Cs w:val="32"/>
          <w:shd w:val="clear" w:color="auto" w:fill="FFFFFF"/>
          <w14:ligatures w14:val="standardContextual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本标准注重“推广标准”的定位，重点解决“如何试点、如何示范、如何规模化推广”的问题，与以技术操作或诊疗指南为主的标准形成互补。</w:t>
      </w:r>
    </w:p>
    <w:p w14:paraId="140A9573">
      <w:pPr>
        <w:spacing w:line="660" w:lineRule="exact"/>
        <w:outlineLvl w:val="0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三、国外相关规定和标准情况的对比说明</w:t>
      </w:r>
    </w:p>
    <w:p w14:paraId="2A373644">
      <w:pPr>
        <w:widowControl/>
        <w:autoSpaceDE w:val="0"/>
        <w:autoSpaceDN w:val="0"/>
        <w:spacing w:line="360" w:lineRule="auto"/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 xml:space="preserve">    在标准制定过程中，起草组参考了世界卫生组织（WHO）关于健康促进、疾病预防、慢病综合防控及康复服务的相关技术文件和行动框架，关注国际上慢病防治从“以治疗为中心”向“全周期健康管理”转变的发展趋势。</w:t>
      </w:r>
    </w:p>
    <w:p w14:paraId="5D609B4B">
      <w:pPr>
        <w:widowControl/>
        <w:autoSpaceDE w:val="0"/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与国外相关框架相比，本标准的特点在于：更加强调基层和社区在慢病防治推广中的核心作用；将“试点—示范—推广”作为服务扩散的关键路径进行制度化设计；结合我国医疗卫生体系特点，突出医防协同、分级管理和资源整合；在推广层面兼顾科学性与现实可行性，强调低成本、可复制、可持续。</w:t>
      </w:r>
    </w:p>
    <w:p w14:paraId="20136484">
      <w:pPr>
        <w:widowControl/>
        <w:autoSpaceDE w:val="0"/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通过本土化设计，本标准在吸收国际经验的基础上，更好地适配我国慢病防治的实际需求。</w:t>
      </w:r>
    </w:p>
    <w:p w14:paraId="2303EC5A">
      <w:pPr>
        <w:spacing w:line="660" w:lineRule="exact"/>
        <w:outlineLvl w:val="0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四、各项技术内容的依据</w:t>
      </w:r>
    </w:p>
    <w:p w14:paraId="688F0EB6">
      <w:pPr>
        <w:spacing w:line="660" w:lineRule="exact"/>
        <w:outlineLvl w:val="0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（一）适用范围</w:t>
      </w:r>
    </w:p>
    <w:p w14:paraId="53344A09">
      <w:pPr>
        <w:widowControl/>
        <w:autoSpaceDE w:val="0"/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本标准适用于重大慢病“防、筛、管、治、康、护”服务技术的推广工作，适用于各级医疗卫生机构、相关社会组织及从业人员开展慢病防治服务推广活动。推广可根据地区资源条件选择部分环节实施，不要求一次性全覆盖。</w:t>
      </w:r>
    </w:p>
    <w:p w14:paraId="68E5DFBF">
      <w:pPr>
        <w:spacing w:line="660" w:lineRule="exact"/>
        <w:outlineLvl w:val="0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（二）主要内容及确定依据</w:t>
      </w:r>
    </w:p>
    <w:p w14:paraId="55C58691">
      <w:pPr>
        <w:widowControl/>
        <w:autoSpaceDE w:val="0"/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本标准依据 GB/T 1.1-2020《标准化工作导则 第1部分：标准化文件的结构和起草规则》进行文本编制。文本由前言、引言、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val="en-US" w:eastAsia="zh-CN" w:bidi="ar"/>
          <w14:ligatures w14:val="none"/>
        </w:rPr>
        <w:t>适用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范围、规范性引用文件、术语和定义、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val="en-US" w:eastAsia="zh-CN" w:bidi="ar"/>
          <w14:ligatures w14:val="none"/>
        </w:rPr>
        <w:t>试点、示范、推广内容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val="en-US" w:eastAsia="zh-CN" w:bidi="ar"/>
          <w14:ligatures w14:val="none"/>
        </w:rPr>
        <w:t>推广主体、推广客体、推广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原则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val="en-US" w:eastAsia="zh-CN" w:bidi="ar"/>
          <w14:ligatures w14:val="none"/>
        </w:rPr>
        <w:t>和推广成效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评估等组成。以下重点说明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val="en-US" w:eastAsia="zh-CN" w:bidi="ar"/>
          <w14:ligatures w14:val="none"/>
        </w:rPr>
        <w:t>标准主要内容与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确定依据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val="en-US" w:eastAsia="zh-CN" w:bidi="ar"/>
          <w14:ligatures w14:val="none"/>
        </w:rPr>
        <w:t>的</w:t>
      </w: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过程。</w:t>
      </w:r>
    </w:p>
    <w:p w14:paraId="0F492DEF">
      <w:pPr>
        <w:widowControl/>
        <w:autoSpaceDE w:val="0"/>
        <w:autoSpaceDN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val="en-US" w:eastAsia="zh-CN" w:bidi="ar"/>
          <w14:ligatures w14:val="none"/>
        </w:rPr>
        <w:t xml:space="preserve">1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试点与示范的技术依据</w:t>
      </w:r>
    </w:p>
    <w:p w14:paraId="584F94DF">
      <w:pPr>
        <w:widowControl/>
        <w:autoSpaceDE w:val="0"/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通过设置试点与示范两个阶段，明确服务技术在小范围验证和较大范围应用中的不同目标和要求，确保推广模式经过充分验证后再进行规模化应用。</w:t>
      </w:r>
    </w:p>
    <w:p w14:paraId="000F107F">
      <w:pPr>
        <w:widowControl/>
        <w:autoSpaceDE w:val="0"/>
        <w:autoSpaceDN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val="en-US" w:eastAsia="zh-CN" w:bidi="ar"/>
          <w14:ligatures w14:val="none"/>
        </w:rPr>
        <w:t xml:space="preserve">2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 xml:space="preserve">推广内容的技术依据 </w:t>
      </w:r>
    </w:p>
    <w:p w14:paraId="47DFA2E3">
      <w:pPr>
        <w:widowControl/>
        <w:autoSpaceDE w:val="0"/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 xml:space="preserve">围绕慢病防治全周期，系统梳理预防、筛查、管理、治疗、康复和护理与照护六类核心服务技术，明确各环节的基本内容、实施要点和衔接关系，确保服务链条完整。 </w:t>
      </w:r>
    </w:p>
    <w:p w14:paraId="57BFAE3F">
      <w:pPr>
        <w:widowControl/>
        <w:autoSpaceDE w:val="0"/>
        <w:autoSpaceDN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val="en-US" w:eastAsia="zh-CN" w:bidi="ar"/>
          <w14:ligatures w14:val="none"/>
        </w:rPr>
        <w:t xml:space="preserve">3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 xml:space="preserve">推广主体与客体界定依据   </w:t>
      </w:r>
    </w:p>
    <w:p w14:paraId="6E9BE78F">
      <w:pPr>
        <w:widowControl/>
        <w:autoSpaceDE w:val="0"/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>明确推广主体的资质要求和行为边界，防止推广活动替代医疗决策或产生误导；同时明确推广客体涵盖患者、高危人群和一般居民，体现慢病防治的全人群视角。</w:t>
      </w:r>
    </w:p>
    <w:p w14:paraId="3A6A35F5">
      <w:pPr>
        <w:widowControl/>
        <w:autoSpaceDE w:val="0"/>
        <w:autoSpaceDN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val="en-US" w:eastAsia="zh-CN" w:bidi="ar"/>
          <w14:ligatures w14:val="none"/>
        </w:rPr>
        <w:t xml:space="preserve">4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 xml:space="preserve">推广原则与成效评估依据  </w:t>
      </w:r>
    </w:p>
    <w:p w14:paraId="2AEA87EF">
      <w:pPr>
        <w:widowControl/>
        <w:autoSpaceDE w:val="0"/>
        <w:autoSpaceDN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0"/>
          <w:lang w:bidi="ar"/>
          <w14:ligatures w14:val="none"/>
        </w:rPr>
        <w:t xml:space="preserve">从科学性、公平性、实用性、可持续性等方面提出推广原则，并构建内部评估、第三方认定和专家验收相结合的成效评估机制，确保推广质量与效果。  </w:t>
      </w:r>
    </w:p>
    <w:p w14:paraId="08303C29">
      <w:pPr>
        <w:widowControl/>
        <w:autoSpaceDE w:val="0"/>
        <w:autoSpaceDN w:val="0"/>
        <w:spacing w:line="360" w:lineRule="auto"/>
        <w:rPr>
          <w:rFonts w:hint="eastAsia" w:ascii="等线" w:hAnsi="等线" w:eastAsia="黑体" w:cs="Times New Roman"/>
          <w:szCs w:val="32"/>
          <w14:ligatures w14:val="standardContextual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五、征求意见和采纳情况、不采纳的理由</w:t>
      </w:r>
    </w:p>
    <w:p w14:paraId="6AA3922B">
      <w:pPr>
        <w:widowControl/>
        <w:autoSpaceDE w:val="0"/>
        <w:autoSpaceDN w:val="0"/>
        <w:spacing w:line="360" w:lineRule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</w:p>
    <w:p w14:paraId="0943184D">
      <w:pPr>
        <w:widowControl/>
        <w:autoSpaceDE w:val="0"/>
        <w:autoSpaceDN w:val="0"/>
        <w:spacing w:line="360" w:lineRule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六、重大意见分歧的处理结果和依据</w:t>
      </w:r>
    </w:p>
    <w:p w14:paraId="3F92F95A">
      <w:pPr>
        <w:widowControl/>
        <w:autoSpaceDE w:val="0"/>
        <w:autoSpaceDN w:val="0"/>
        <w:spacing w:line="360" w:lineRule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</w:p>
    <w:p w14:paraId="417013D3">
      <w:pPr>
        <w:widowControl/>
        <w:autoSpaceDE w:val="0"/>
        <w:autoSpaceDN w:val="0"/>
        <w:spacing w:line="360" w:lineRule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0"/>
          <w:lang w:bidi="ar"/>
          <w14:ligatures w14:val="none"/>
        </w:rPr>
        <w:t>七、其他应予说明的事项</w:t>
      </w:r>
    </w:p>
    <w:p w14:paraId="7522114C">
      <w:pPr>
        <w:widowControl/>
        <w:spacing w:line="360" w:lineRule="auto"/>
        <w:jc w:val="left"/>
        <w:rPr>
          <w:rFonts w:hint="eastAsia" w:ascii="宋体" w:hAnsi="宋体" w:eastAsia="宋体" w:cs="宋体"/>
          <w:b/>
          <w:bCs/>
          <w:color w:val="040503"/>
          <w:kern w:val="0"/>
          <w:sz w:val="28"/>
          <w:szCs w:val="28"/>
          <w:lang w:eastAsia="zh-CN" w:bidi="ar"/>
          <w14:ligatures w14:val="none"/>
        </w:rPr>
        <w:sectPr>
          <w:headerReference r:id="rId3" w:type="first"/>
          <w:footerReference r:id="rId6" w:type="first"/>
          <w:footerReference r:id="rId4" w:type="default"/>
          <w:footerReference r:id="rId5" w:type="even"/>
          <w:pgSz w:w="11906" w:h="16838"/>
          <w:pgMar w:top="975" w:right="1452" w:bottom="907" w:left="1440" w:header="851" w:footer="992" w:gutter="0"/>
          <w:pgNumType w:start="34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仿宋_GB2312"/>
          <w:sz w:val="24"/>
          <w:szCs w:val="24"/>
          <w:shd w:val="clear" w:color="auto" w:fill="FFFFFF"/>
          <w14:ligatures w14:val="standardContextual"/>
        </w:rPr>
        <w:t xml:space="preserve">    本标准是针对重大慢病“防、筛、管、治、康、护”服务技术推广的综合性团体标准，属于探索性和引领性工作。随着实践的深入和政策环境的变化，相关内容有待在实际应用中不断完善和修订</w:t>
      </w:r>
    </w:p>
    <w:p w14:paraId="4B0AA7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D08AAF0-DCCD-443B-B7CE-E52C9B788A3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94268A3-82BE-4DEA-B644-04D795895D5A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6804F96E-97A9-47A6-9F67-1EBEB38DD1EE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AFAF1C12-25D0-48C1-903A-F3346AF67C76}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F6E77">
    <w:pPr>
      <w:widowControl w:val="0"/>
      <w:tabs>
        <w:tab w:val="center" w:pos="4153"/>
        <w:tab w:val="center" w:pos="4507"/>
        <w:tab w:val="left" w:pos="5084"/>
        <w:tab w:val="right" w:pos="8306"/>
      </w:tabs>
      <w:snapToGrid w:val="0"/>
      <w:spacing w:before="120" w:after="12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  <w14:ligatures w14:val="standardContextual"/>
      </w:rPr>
    </w:pPr>
    <w:r>
      <w:rPr>
        <w:rFonts w:hint="eastAsia" w:ascii="等线" w:hAnsi="等线" w:eastAsia="等线" w:cs="Times New Roman"/>
        <w:kern w:val="2"/>
        <w:sz w:val="18"/>
        <w:szCs w:val="18"/>
        <w:lang w:val="en-US" w:eastAsia="zh-CN" w:bidi="ar-SA"/>
        <w14:ligatures w14:val="standardContextual"/>
      </w:rPr>
      <w:tab/>
    </w:r>
  </w:p>
  <w:p w14:paraId="534FB31E">
    <w:pPr>
      <w:spacing w:line="14" w:lineRule="auto"/>
      <w:ind w:left="220"/>
      <w:rPr>
        <w:rFonts w:hint="eastAsia" w:ascii="楷体" w:hAnsi="楷体" w:eastAsia="楷体" w:cs="楷体"/>
        <w:sz w:val="20"/>
        <w:szCs w:val="24"/>
        <w:lang w:eastAsia="en-US"/>
        <w14:ligatures w14:val="standardContextu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等线" w:hAnsi="等线" w:eastAsia="等线" w:cs="Times New Roman"/>
        <w:kern w:val="2"/>
        <w:sz w:val="21"/>
        <w:szCs w:val="22"/>
        <w:lang w:val="en-US" w:eastAsia="zh-CN" w:bidi="ar-SA"/>
        <w14:ligatures w14:val="standardContextual"/>
      </w:rPr>
      <w:id w:val="-653072070"/>
      <w:docPartObj>
        <w:docPartGallery w:val="autotext"/>
      </w:docPartObj>
    </w:sdtPr>
    <w:sdtEndPr>
      <w:rPr>
        <w:rFonts w:ascii="宋体" w:hAnsi="宋体" w:eastAsia="宋体" w:cs="Times New Roman"/>
        <w:kern w:val="2"/>
        <w:sz w:val="18"/>
        <w:szCs w:val="18"/>
        <w:lang w:val="en-US" w:eastAsia="zh-CN" w:bidi="ar-SA"/>
        <w14:ligatures w14:val="standardContextual"/>
      </w:rPr>
    </w:sdtEndPr>
    <w:sdtContent>
      <w:p w14:paraId="59BA66D0">
        <w:pPr>
          <w:widowControl w:val="0"/>
          <w:tabs>
            <w:tab w:val="center" w:pos="4153"/>
            <w:tab w:val="right" w:pos="8306"/>
          </w:tabs>
          <w:snapToGrid w:val="0"/>
          <w:spacing w:before="120" w:after="120"/>
          <w:jc w:val="center"/>
          <w:rPr>
            <w:rFonts w:hint="eastAsia" w:ascii="宋体" w:hAnsi="宋体" w:eastAsia="宋体" w:cs="Times New Roman"/>
            <w:kern w:val="2"/>
            <w:sz w:val="18"/>
            <w:szCs w:val="18"/>
            <w:lang w:val="en-US" w:eastAsia="zh-CN" w:bidi="ar-SA"/>
            <w14:ligatures w14:val="standardContextual"/>
          </w:rPr>
        </w:pPr>
        <w:r>
          <w:rPr>
            <w:rFonts w:hint="eastAsia" w:ascii="宋体" w:hAnsi="宋体" w:eastAsia="宋体" w:cs="Times New Roman"/>
            <w:kern w:val="2"/>
            <w:sz w:val="18"/>
            <w:szCs w:val="18"/>
            <w:lang w:val="zh-CN" w:eastAsia="zh-CN" w:bidi="ar-SA"/>
            <w14:ligatures w14:val="standardContextual"/>
          </w:rPr>
          <w:t>36</w:t>
        </w:r>
      </w:p>
    </w:sdtContent>
  </w:sdt>
  <w:p w14:paraId="5F071D97">
    <w:pPr>
      <w:widowControl w:val="0"/>
      <w:tabs>
        <w:tab w:val="center" w:pos="4153"/>
        <w:tab w:val="right" w:pos="8306"/>
      </w:tabs>
      <w:snapToGrid w:val="0"/>
      <w:jc w:val="left"/>
      <w:rPr>
        <w:rFonts w:hint="eastAsia" w:ascii="等线" w:hAnsi="等线" w:eastAsia="等线" w:cs="Times New Roman"/>
        <w:kern w:val="2"/>
        <w:sz w:val="18"/>
        <w:szCs w:val="18"/>
        <w:lang w:val="en-US" w:eastAsia="zh-CN" w:bidi="ar-SA"/>
        <w14:ligatures w14:val="standardContextu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等线" w:hAnsi="等线" w:eastAsia="等线" w:cs="Times New Roman"/>
        <w:kern w:val="2"/>
        <w:sz w:val="21"/>
        <w:szCs w:val="22"/>
        <w:lang w:val="en-US" w:eastAsia="zh-CN" w:bidi="ar-SA"/>
        <w14:ligatures w14:val="standardContextual"/>
      </w:rPr>
      <w:id w:val="-1649121269"/>
      <w:docPartObj>
        <w:docPartGallery w:val="autotext"/>
      </w:docPartObj>
    </w:sdtPr>
    <w:sdtEndPr>
      <w:rPr>
        <w:rFonts w:ascii="宋体" w:hAnsi="宋体" w:eastAsia="宋体" w:cs="Times New Roman"/>
        <w:kern w:val="2"/>
        <w:sz w:val="18"/>
        <w:szCs w:val="18"/>
        <w:lang w:val="en-US" w:eastAsia="zh-CN" w:bidi="ar-SA"/>
        <w14:ligatures w14:val="standardContextual"/>
      </w:rPr>
    </w:sdtEndPr>
    <w:sdtContent>
      <w:p w14:paraId="60E38CBC">
        <w:pPr>
          <w:widowControl w:val="0"/>
          <w:tabs>
            <w:tab w:val="center" w:pos="4153"/>
            <w:tab w:val="right" w:pos="8306"/>
          </w:tabs>
          <w:snapToGrid w:val="0"/>
          <w:spacing w:before="120" w:after="120"/>
          <w:jc w:val="center"/>
          <w:rPr>
            <w:rFonts w:hint="eastAsia" w:ascii="宋体" w:hAnsi="宋体" w:eastAsia="宋体" w:cs="Times New Roman"/>
            <w:kern w:val="2"/>
            <w:sz w:val="18"/>
            <w:szCs w:val="18"/>
            <w:lang w:val="en-US" w:eastAsia="zh-CN" w:bidi="ar-SA"/>
            <w14:ligatures w14:val="standardContextual"/>
          </w:rPr>
        </w:pPr>
        <w:r>
          <w:rPr>
            <w:rFonts w:ascii="宋体" w:hAnsi="宋体" w:eastAsia="宋体" w:cs="Times New Roman"/>
            <w:kern w:val="2"/>
            <w:sz w:val="18"/>
            <w:szCs w:val="18"/>
            <w:lang w:val="zh-CN" w:eastAsia="zh-CN" w:bidi="ar-SA"/>
            <w14:ligatures w14:val="standardContextual"/>
          </w:rPr>
          <w:fldChar w:fldCharType="begin"/>
        </w:r>
        <w:r>
          <w:rPr>
            <w:rFonts w:ascii="宋体" w:hAnsi="宋体" w:eastAsia="宋体" w:cs="Times New Roman"/>
            <w:kern w:val="2"/>
            <w:sz w:val="18"/>
            <w:szCs w:val="18"/>
            <w:lang w:val="zh-CN" w:eastAsia="zh-CN" w:bidi="ar-SA"/>
            <w14:ligatures w14:val="standardContextual"/>
          </w:rPr>
          <w:instrText xml:space="preserve">PAGE   \* MERGEFORMAT</w:instrText>
        </w:r>
        <w:r>
          <w:rPr>
            <w:rFonts w:ascii="宋体" w:hAnsi="宋体" w:eastAsia="宋体" w:cs="Times New Roman"/>
            <w:kern w:val="2"/>
            <w:sz w:val="18"/>
            <w:szCs w:val="18"/>
            <w:lang w:val="zh-CN" w:eastAsia="zh-CN" w:bidi="ar-SA"/>
            <w14:ligatures w14:val="standardContextual"/>
          </w:rPr>
          <w:fldChar w:fldCharType="separate"/>
        </w:r>
        <w:r>
          <w:rPr>
            <w:rFonts w:ascii="宋体" w:hAnsi="宋体" w:eastAsia="宋体" w:cs="Times New Roman"/>
            <w:kern w:val="2"/>
            <w:sz w:val="18"/>
            <w:szCs w:val="18"/>
            <w:lang w:val="zh-CN" w:eastAsia="zh-CN" w:bidi="ar-SA"/>
            <w14:ligatures w14:val="standardContextual"/>
          </w:rPr>
          <w:t>1</w:t>
        </w:r>
        <w:r>
          <w:rPr>
            <w:rFonts w:ascii="宋体" w:hAnsi="宋体" w:eastAsia="宋体" w:cs="Times New Roman"/>
            <w:kern w:val="2"/>
            <w:sz w:val="18"/>
            <w:szCs w:val="18"/>
            <w:lang w:val="zh-CN" w:eastAsia="zh-CN" w:bidi="ar-SA"/>
            <w14:ligatures w14:val="standardContextual"/>
          </w:rPr>
          <w:fldChar w:fldCharType="end"/>
        </w:r>
      </w:p>
    </w:sdtContent>
  </w:sdt>
  <w:p w14:paraId="149AF88B">
    <w:pPr>
      <w:widowControl w:val="0"/>
      <w:tabs>
        <w:tab w:val="left" w:pos="6488"/>
      </w:tabs>
      <w:snapToGrid w:val="0"/>
      <w:jc w:val="left"/>
      <w:rPr>
        <w:rFonts w:hint="eastAsia" w:ascii="等线" w:hAnsi="等线" w:eastAsia="等线" w:cs="Times New Roman"/>
        <w:kern w:val="2"/>
        <w:sz w:val="18"/>
        <w:szCs w:val="18"/>
        <w:lang w:val="en-US" w:eastAsia="zh-CN" w:bidi="ar-SA"/>
        <w14:ligatures w14:val="standardContextual"/>
      </w:rPr>
    </w:pPr>
    <w:r>
      <w:rPr>
        <w:rFonts w:hint="eastAsia" w:ascii="等线" w:hAnsi="等线" w:eastAsia="等线" w:cs="Times New Roman"/>
        <w:kern w:val="2"/>
        <w:sz w:val="18"/>
        <w:szCs w:val="18"/>
        <w:lang w:val="en-US" w:eastAsia="zh-CN" w:bidi="ar-SA"/>
        <w14:ligatures w14:val="standardContextual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D5EA6">
    <w:pPr>
      <w:tabs>
        <w:tab w:val="left" w:pos="7170"/>
        <w:tab w:val="right" w:pos="9014"/>
      </w:tabs>
      <w:adjustRightInd w:val="0"/>
      <w:snapToGrid w:val="0"/>
      <w:spacing w:before="120" w:after="120"/>
      <w:jc w:val="right"/>
      <w:rPr>
        <w:rFonts w:hint="eastAsia" w:ascii="黑体" w:hAnsi="宋体" w:eastAsia="黑体" w:cs="Times New Roman"/>
        <w:kern w:val="0"/>
        <w:sz w:val="21"/>
        <w:szCs w:val="20"/>
        <w:lang w:val="en-US" w:eastAsia="zh-CN" w:bidi="ar-SA"/>
        <w14:ligatures w14:val="none"/>
      </w:rPr>
    </w:pPr>
    <w:r>
      <w:rPr>
        <w:rFonts w:hint="eastAsia" w:ascii="Century" w:hAnsi="Century" w:eastAsia="黑体" w:cs="Times New Roman"/>
        <w:kern w:val="0"/>
        <w:sz w:val="21"/>
        <w:szCs w:val="20"/>
        <w:lang w:val="en-US" w:eastAsia="zh-CN" w:bidi="ar-SA"/>
        <w14:ligatures w14:val="none"/>
      </w:rPr>
      <w:t xml:space="preserve">                                                   </w:t>
    </w:r>
    <w:r>
      <w:rPr>
        <w:rFonts w:ascii="Century" w:hAnsi="Century" w:eastAsia="黑体" w:cs="Times New Roman"/>
        <w:kern w:val="0"/>
        <w:sz w:val="21"/>
        <w:szCs w:val="20"/>
        <w:lang w:val="en-US" w:eastAsia="zh-CN" w:bidi="ar-SA"/>
        <w14:ligatures w14:val="none"/>
      </w:rPr>
      <w:t xml:space="preserve">T / </w:t>
    </w:r>
    <w:r>
      <w:rPr>
        <w:rFonts w:hint="eastAsia" w:ascii="Century" w:hAnsi="Century" w:eastAsia="黑体" w:cs="Times New Roman"/>
        <w:kern w:val="0"/>
        <w:sz w:val="21"/>
        <w:szCs w:val="20"/>
        <w:lang w:val="en-US" w:eastAsia="zh-CN" w:bidi="ar-SA"/>
        <w14:ligatures w14:val="none"/>
      </w:rPr>
      <w:t>CALC</w:t>
    </w:r>
    <w:r>
      <w:rPr>
        <w:rFonts w:ascii="黑体" w:hAnsi="宋体" w:eastAsia="黑体" w:cs="Times New Roman"/>
        <w:kern w:val="0"/>
        <w:sz w:val="21"/>
        <w:szCs w:val="20"/>
        <w:lang w:val="en-US" w:eastAsia="zh-CN" w:bidi="ar-SA"/>
        <w14:ligatures w14:val="none"/>
      </w:rPr>
      <w:t xml:space="preserve"> XX-20XX</w:t>
    </w:r>
    <w:r>
      <w:rPr>
        <w:rFonts w:ascii="Century" w:hAnsi="Century" w:eastAsia="黑体" w:cs="Times New Roman"/>
        <w:kern w:val="0"/>
        <w:sz w:val="21"/>
        <w:szCs w:val="20"/>
        <w:lang w:val="en-US" w:eastAsia="zh-CN" w:bidi="ar-SA"/>
        <w14:ligatures w14:val="non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18AE84"/>
    <w:multiLevelType w:val="singleLevel"/>
    <w:tmpl w:val="1718AE8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275F39"/>
    <w:rsid w:val="1538306C"/>
    <w:rsid w:val="297826FC"/>
    <w:rsid w:val="435F05F0"/>
    <w:rsid w:val="48505607"/>
    <w:rsid w:val="4BF91035"/>
    <w:rsid w:val="4ED069CE"/>
    <w:rsid w:val="51C474E7"/>
    <w:rsid w:val="52180956"/>
    <w:rsid w:val="66A633A5"/>
    <w:rsid w:val="68582403"/>
    <w:rsid w:val="6A9A6657"/>
    <w:rsid w:val="6B7D0AFE"/>
    <w:rsid w:val="6E661D1D"/>
    <w:rsid w:val="72ED47BB"/>
    <w:rsid w:val="78CC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3052</Words>
  <Characters>3115</Characters>
  <Lines>0</Lines>
  <Paragraphs>0</Paragraphs>
  <TotalTime>0</TotalTime>
  <ScaleCrop>false</ScaleCrop>
  <LinksUpToDate>false</LinksUpToDate>
  <CharactersWithSpaces>3143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2026-01-10T08:30:00Z</dcterms:created>
  <dc:creator>HP</dc:creator>
  <cp:lastModifiedBy>zhangsir</cp:lastModifiedBy>
  <dcterms:modified xsi:type="dcterms:W3CDTF">2026-03-06T09:29:16Z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eyJoZGlkIjoiMjFhYjg0NTMzNmMxNzk5NzQ2Nzg2NjkzNDM4OTMzMTQiLCJ1c2VySWQiOiIzMjkzNTA1OTEifQ==</vt:lpwstr>
  </property>
  <property fmtid="{D5CDD505-2E9C-101B-9397-08002B2CF9AE}" pid="4" name="ICV">
    <vt:lpwstr>E74C496965FF4CEAAA7C5E6F48D6467E_12</vt:lpwstr>
  </property>
</Properties>
</file>