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E30E2">
      <w:pPr>
        <w:widowControl/>
        <w:snapToGrid w:val="0"/>
        <w:spacing w:line="288" w:lineRule="auto"/>
        <w:jc w:val="right"/>
        <w:rPr>
          <w:rFonts w:hint="eastAsia" w:ascii="黑体" w:hAnsi="黑体" w:eastAsia="黑体"/>
          <w:sz w:val="28"/>
          <w:szCs w:val="28"/>
        </w:rPr>
      </w:pPr>
      <w:r>
        <w:rPr>
          <w:rFonts w:ascii="Century" w:hAnsi="Century" w:eastAsia="微软雅黑"/>
        </w:rPr>
        <w:drawing>
          <wp:anchor distT="0" distB="0" distL="114300" distR="114300" simplePos="0" relativeHeight="251661312" behindDoc="0" locked="0" layoutInCell="1" allowOverlap="1">
            <wp:simplePos x="0" y="0"/>
            <wp:positionH relativeFrom="margin">
              <wp:posOffset>-1905</wp:posOffset>
            </wp:positionH>
            <wp:positionV relativeFrom="margin">
              <wp:posOffset>630555</wp:posOffset>
            </wp:positionV>
            <wp:extent cx="5958840" cy="453390"/>
            <wp:effectExtent l="0" t="0" r="0" b="3810"/>
            <wp:wrapSquare wrapText="bothSides"/>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图片 469"/>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958840" cy="453390"/>
                    </a:xfrm>
                    <a:prstGeom prst="rect">
                      <a:avLst/>
                    </a:prstGeom>
                  </pic:spPr>
                </pic:pic>
              </a:graphicData>
            </a:graphic>
          </wp:anchor>
        </w:drawing>
      </w:r>
    </w:p>
    <w:p w14:paraId="5CB68833">
      <w:pPr>
        <w:widowControl/>
        <w:snapToGrid w:val="0"/>
        <w:spacing w:line="288" w:lineRule="auto"/>
        <w:ind w:right="277"/>
        <w:jc w:val="right"/>
        <w:rPr>
          <w:rFonts w:hint="eastAsia" w:ascii="黑体" w:hAnsi="黑体" w:eastAsia="黑体"/>
          <w:sz w:val="28"/>
          <w:szCs w:val="28"/>
        </w:rPr>
      </w:pPr>
      <w:r>
        <w:rPr>
          <w:rFonts w:ascii="Century" w:hAnsi="Century" w:eastAsia="黑体"/>
          <w:sz w:val="28"/>
          <w:szCs w:val="28"/>
        </w:rPr>
        <w:t xml:space="preserve">T / </w:t>
      </w:r>
      <w:r>
        <w:rPr>
          <w:rFonts w:hint="eastAsia" w:ascii="Century" w:hAnsi="Century" w:eastAsia="黑体"/>
          <w:sz w:val="28"/>
          <w:szCs w:val="28"/>
        </w:rPr>
        <w:t>C</w:t>
      </w:r>
      <w:r>
        <w:rPr>
          <w:rFonts w:hint="eastAsia" w:ascii="Century" w:hAnsi="Century" w:eastAsia="黑体"/>
          <w:sz w:val="28"/>
          <w:szCs w:val="28"/>
          <w:lang w:val="en-US" w:eastAsia="zh-CN"/>
        </w:rPr>
        <w:t>NHAW</w:t>
      </w:r>
      <w:r>
        <w:rPr>
          <w:rFonts w:hint="eastAsia" w:ascii="黑体" w:hAnsi="黑体" w:eastAsia="黑体"/>
          <w:sz w:val="28"/>
          <w:szCs w:val="28"/>
          <w:lang w:val="en-US" w:eastAsia="zh-CN"/>
        </w:rPr>
        <w:t xml:space="preserve"> XXXX</w:t>
      </w:r>
      <w:r>
        <w:rPr>
          <w:rFonts w:ascii="黑体" w:hAnsi="黑体" w:eastAsia="黑体"/>
          <w:sz w:val="28"/>
          <w:szCs w:val="28"/>
        </w:rPr>
        <w:t>-202</w:t>
      </w:r>
      <w:r>
        <w:rPr>
          <w:rFonts w:hint="eastAsia" w:ascii="黑体" w:hAnsi="黑体" w:eastAsia="黑体"/>
          <w:sz w:val="28"/>
          <w:szCs w:val="28"/>
          <w:lang w:val="en-US" w:eastAsia="zh-CN"/>
        </w:rPr>
        <w:t>6</w:t>
      </w:r>
      <w:r>
        <w:rPr>
          <w:rFonts w:ascii="黑体" w:hAnsi="黑体" w:eastAsia="黑体"/>
          <w:sz w:val="28"/>
          <w:szCs w:val="28"/>
        </w:rPr>
        <w:t xml:space="preserve">  </w:t>
      </w:r>
    </w:p>
    <w:p w14:paraId="6193F161">
      <w:pPr>
        <w:widowControl/>
        <w:snapToGrid w:val="0"/>
        <w:spacing w:line="288" w:lineRule="auto"/>
        <w:jc w:val="right"/>
        <w:rPr>
          <w:sz w:val="28"/>
          <w:szCs w:val="28"/>
        </w:rPr>
      </w:pPr>
    </w:p>
    <w:p w14:paraId="03A002D0">
      <w:pPr>
        <w:widowControl/>
        <w:snapToGrid w:val="0"/>
        <w:spacing w:line="288" w:lineRule="auto"/>
        <w:jc w:val="right"/>
        <w:rPr>
          <w:sz w:val="28"/>
          <w:szCs w:val="28"/>
        </w:rPr>
      </w:pPr>
      <w:r>
        <w:rPr>
          <w:rFonts w:ascii="Century" w:hAnsi="Century"/>
          <w:sz w:val="28"/>
          <w:szCs w:val="28"/>
        </w:rPr>
        <mc:AlternateContent>
          <mc:Choice Requires="wps">
            <w:drawing>
              <wp:anchor distT="0" distB="0" distL="114300" distR="114300" simplePos="0" relativeHeight="251660288" behindDoc="0" locked="0" layoutInCell="1" allowOverlap="1">
                <wp:simplePos x="0" y="0"/>
                <wp:positionH relativeFrom="column">
                  <wp:posOffset>-1270</wp:posOffset>
                </wp:positionH>
                <wp:positionV relativeFrom="paragraph">
                  <wp:posOffset>26035</wp:posOffset>
                </wp:positionV>
                <wp:extent cx="5939790" cy="0"/>
                <wp:effectExtent l="0" t="0" r="16510" b="12700"/>
                <wp:wrapNone/>
                <wp:docPr id="466" name="直接连接符 466"/>
                <wp:cNvGraphicFramePr/>
                <a:graphic xmlns:a="http://schemas.openxmlformats.org/drawingml/2006/main">
                  <a:graphicData uri="http://schemas.microsoft.com/office/word/2010/wordprocessingShape">
                    <wps:wsp>
                      <wps:cNvCnPr/>
                      <wps:spPr>
                        <a:xfrm>
                          <a:off x="0" y="0"/>
                          <a:ext cx="5940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1pt;margin-top:2.05pt;height:0pt;width:467.7pt;z-index:251660288;mso-width-relative:page;mso-height-relative:page;" filled="f" stroked="t" coordsize="21600,21600" o:gfxdata="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Cso1uNQAAAAFAQAA&#10;DwAAAAAAAAABACAAAAAiAAAAZHJzL2Rvd25yZXYueG1sUEsBAhQAFAAAAAgAh07iQKYDARvkAQAA&#10;tQMAAA4AAAAAAAAAAQAgAAAAIwEAAGRycy9lMm9Eb2MueG1sUEsFBgAAAAAGAAYAWQEAAHkFAAAA&#10;AA==&#10;">
                <v:fill on="f" focussize="0,0"/>
                <v:stroke color="#000000 [3213]" miterlimit="8" joinstyle="miter"/>
                <v:imagedata o:title=""/>
                <o:lock v:ext="edit" aspectratio="f"/>
              </v:line>
            </w:pict>
          </mc:Fallback>
        </mc:AlternateContent>
      </w:r>
    </w:p>
    <w:p w14:paraId="2C98A09C">
      <w:pPr>
        <w:widowControl/>
        <w:snapToGrid w:val="0"/>
        <w:spacing w:line="288" w:lineRule="auto"/>
        <w:jc w:val="right"/>
        <w:rPr>
          <w:sz w:val="28"/>
          <w:szCs w:val="28"/>
        </w:rPr>
      </w:pPr>
    </w:p>
    <w:p w14:paraId="7656393D">
      <w:pPr>
        <w:widowControl/>
        <w:snapToGrid w:val="0"/>
        <w:spacing w:before="120" w:after="120" w:line="288" w:lineRule="auto"/>
        <w:jc w:val="right"/>
        <w:rPr>
          <w:sz w:val="28"/>
          <w:szCs w:val="28"/>
        </w:rPr>
      </w:pPr>
    </w:p>
    <w:p w14:paraId="64DEDEAE">
      <w:pPr>
        <w:widowControl/>
        <w:snapToGrid w:val="0"/>
        <w:spacing w:before="120" w:after="120" w:line="288" w:lineRule="auto"/>
        <w:jc w:val="right"/>
        <w:rPr>
          <w:sz w:val="20"/>
          <w:szCs w:val="20"/>
        </w:rPr>
      </w:pPr>
    </w:p>
    <w:p w14:paraId="5511AD6C">
      <w:pPr>
        <w:widowControl/>
        <w:snapToGrid w:val="0"/>
        <w:spacing w:line="288" w:lineRule="auto"/>
        <w:jc w:val="right"/>
        <w:rPr>
          <w:sz w:val="20"/>
          <w:szCs w:val="20"/>
        </w:rPr>
      </w:pPr>
    </w:p>
    <w:p w14:paraId="2236FDE0">
      <w:pPr>
        <w:widowControl/>
        <w:snapToGrid w:val="0"/>
        <w:spacing w:line="360" w:lineRule="auto"/>
        <w:jc w:val="right"/>
        <w:rPr>
          <w:sz w:val="20"/>
          <w:szCs w:val="20"/>
        </w:rPr>
      </w:pPr>
    </w:p>
    <w:p w14:paraId="23D43A11">
      <w:pPr>
        <w:widowControl/>
        <w:spacing w:line="360" w:lineRule="auto"/>
        <w:jc w:val="center"/>
        <w:rPr>
          <w:rFonts w:hint="eastAsia" w:ascii="黑体" w:hAnsi="黑体" w:eastAsia="黑体"/>
          <w:sz w:val="36"/>
          <w:szCs w:val="36"/>
        </w:rPr>
      </w:pPr>
      <w:bookmarkStart w:id="0" w:name="OLE_LINK1"/>
      <w:r>
        <w:rPr>
          <w:rFonts w:hint="eastAsia" w:ascii="黑体" w:hAnsi="黑体" w:eastAsia="黑体"/>
          <w:sz w:val="36"/>
          <w:szCs w:val="36"/>
        </w:rPr>
        <w:t>重大慢病“防、筛、管、治、康、护”推广标</w:t>
      </w:r>
      <w:bookmarkStart w:id="56" w:name="_GoBack"/>
      <w:bookmarkEnd w:id="56"/>
      <w:r>
        <w:rPr>
          <w:rFonts w:hint="eastAsia" w:ascii="黑体" w:hAnsi="黑体" w:eastAsia="黑体"/>
          <w:sz w:val="36"/>
          <w:szCs w:val="36"/>
        </w:rPr>
        <w:t>准</w:t>
      </w:r>
    </w:p>
    <w:bookmarkEnd w:id="0"/>
    <w:p w14:paraId="0B987806">
      <w:pPr>
        <w:spacing w:line="360" w:lineRule="auto"/>
        <w:jc w:val="center"/>
        <w:rPr>
          <w:rFonts w:hint="eastAsia" w:ascii="Arial" w:hAnsi="Arial"/>
          <w:sz w:val="36"/>
        </w:rPr>
      </w:pPr>
      <w:r>
        <w:rPr>
          <w:rFonts w:hint="eastAsia" w:ascii="Arial" w:hAnsi="Arial"/>
          <w:sz w:val="36"/>
        </w:rPr>
        <w:t xml:space="preserve">Standards for the Promotion of "Prevention, Screening, Management, Treatment, Rehabilitation and </w:t>
      </w:r>
      <w:r>
        <w:rPr>
          <w:rFonts w:hint="eastAsia" w:ascii="Arial" w:hAnsi="Arial"/>
          <w:sz w:val="36"/>
          <w:lang w:val="en-US" w:eastAsia="zh-CN"/>
        </w:rPr>
        <w:t>N</w:t>
      </w:r>
      <w:r>
        <w:rPr>
          <w:rFonts w:hint="eastAsia" w:ascii="Arial" w:hAnsi="Arial"/>
          <w:sz w:val="36"/>
        </w:rPr>
        <w:t>ursing" of Major Chronic Diseases</w:t>
      </w:r>
    </w:p>
    <w:p w14:paraId="6AAC359F">
      <w:pPr>
        <w:spacing w:line="360" w:lineRule="auto"/>
        <w:jc w:val="center"/>
        <w:rPr>
          <w:rFonts w:hint="default" w:ascii="Arial" w:hAnsi="Arial" w:eastAsia="宋体"/>
          <w:sz w:val="32"/>
          <w:szCs w:val="20"/>
          <w:lang w:val="en-US" w:eastAsia="zh-CN"/>
        </w:rPr>
      </w:pPr>
      <w:r>
        <w:rPr>
          <w:rFonts w:hint="eastAsia" w:ascii="Arial" w:hAnsi="Arial"/>
          <w:sz w:val="32"/>
          <w:szCs w:val="20"/>
          <w:lang w:val="en-US" w:eastAsia="zh-CN"/>
        </w:rPr>
        <w:t>（文件类型：征求意见稿）</w:t>
      </w:r>
    </w:p>
    <w:p w14:paraId="5310A31B">
      <w:pPr>
        <w:widowControl/>
        <w:snapToGrid w:val="0"/>
        <w:spacing w:line="240" w:lineRule="auto"/>
        <w:jc w:val="center"/>
        <w:rPr>
          <w:sz w:val="28"/>
          <w:szCs w:val="28"/>
        </w:rPr>
      </w:pPr>
    </w:p>
    <w:p w14:paraId="404E2AE2">
      <w:pPr>
        <w:widowControl/>
        <w:snapToGrid w:val="0"/>
        <w:spacing w:line="240" w:lineRule="auto"/>
        <w:jc w:val="center"/>
        <w:rPr>
          <w:rFonts w:hint="eastAsia" w:ascii="黑体" w:hAnsi="黑体" w:eastAsia="黑体"/>
          <w:sz w:val="28"/>
          <w:szCs w:val="28"/>
        </w:rPr>
      </w:pPr>
    </w:p>
    <w:p w14:paraId="11D00568">
      <w:pPr>
        <w:widowControl/>
        <w:snapToGrid w:val="0"/>
        <w:spacing w:line="240" w:lineRule="auto"/>
        <w:rPr>
          <w:sz w:val="28"/>
          <w:szCs w:val="28"/>
        </w:rPr>
      </w:pPr>
    </w:p>
    <w:p w14:paraId="746C306F">
      <w:pPr>
        <w:widowControl/>
        <w:snapToGrid w:val="0"/>
        <w:spacing w:line="240" w:lineRule="auto"/>
        <w:jc w:val="center"/>
        <w:rPr>
          <w:sz w:val="28"/>
          <w:szCs w:val="28"/>
        </w:rPr>
      </w:pPr>
    </w:p>
    <w:p w14:paraId="758B015D">
      <w:pPr>
        <w:widowControl/>
        <w:snapToGrid w:val="0"/>
        <w:spacing w:line="240" w:lineRule="auto"/>
        <w:jc w:val="center"/>
        <w:rPr>
          <w:sz w:val="28"/>
          <w:szCs w:val="28"/>
        </w:rPr>
      </w:pPr>
    </w:p>
    <w:p w14:paraId="70C0547A">
      <w:pPr>
        <w:widowControl/>
        <w:snapToGrid w:val="0"/>
        <w:spacing w:line="240" w:lineRule="auto"/>
        <w:jc w:val="center"/>
        <w:rPr>
          <w:sz w:val="28"/>
          <w:szCs w:val="28"/>
        </w:rPr>
      </w:pPr>
    </w:p>
    <w:p w14:paraId="1D75CABA">
      <w:pPr>
        <w:widowControl/>
        <w:snapToGrid w:val="0"/>
        <w:spacing w:line="240" w:lineRule="auto"/>
        <w:jc w:val="center"/>
        <w:rPr>
          <w:sz w:val="28"/>
          <w:szCs w:val="28"/>
        </w:rPr>
      </w:pPr>
    </w:p>
    <w:p w14:paraId="4AEF0588">
      <w:pPr>
        <w:pStyle w:val="49"/>
        <w:numPr>
          <w:ilvl w:val="0"/>
          <w:numId w:val="0"/>
        </w:numPr>
        <w:adjustRightInd w:val="0"/>
        <w:snapToGrid w:val="0"/>
        <w:spacing w:before="0" w:after="0" w:afterLines="0"/>
        <w:outlineLvl w:val="9"/>
        <w:rPr>
          <w:rFonts w:hint="eastAsia" w:hAnsi="黑体"/>
          <w:sz w:val="28"/>
          <w:szCs w:val="28"/>
        </w:rPr>
      </w:pPr>
    </w:p>
    <w:p w14:paraId="4EB40294">
      <w:pPr>
        <w:pStyle w:val="49"/>
        <w:numPr>
          <w:ilvl w:val="0"/>
          <w:numId w:val="0"/>
        </w:numPr>
        <w:adjustRightInd w:val="0"/>
        <w:snapToGrid w:val="0"/>
        <w:spacing w:before="0" w:after="0" w:afterLines="0"/>
        <w:jc w:val="both"/>
        <w:outlineLvl w:val="9"/>
        <w:rPr>
          <w:rFonts w:hint="eastAsia" w:hAnsi="黑体"/>
          <w:sz w:val="28"/>
          <w:szCs w:val="28"/>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-63500</wp:posOffset>
                </wp:positionH>
                <wp:positionV relativeFrom="paragraph">
                  <wp:posOffset>260350</wp:posOffset>
                </wp:positionV>
                <wp:extent cx="5939790" cy="0"/>
                <wp:effectExtent l="0" t="0" r="16510" b="12700"/>
                <wp:wrapNone/>
                <wp:docPr id="37" name="直接连接符 466"/>
                <wp:cNvGraphicFramePr/>
                <a:graphic xmlns:a="http://schemas.openxmlformats.org/drawingml/2006/main">
                  <a:graphicData uri="http://schemas.microsoft.com/office/word/2010/wordprocessingShape">
                    <wps:wsp>
                      <wps:cNvCnPr/>
                      <wps:spPr>
                        <a:xfrm>
                          <a:off x="0" y="0"/>
                          <a:ext cx="5940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466" o:spid="_x0000_s1026" o:spt="20" style="position:absolute;left:0pt;margin-left:-5pt;margin-top:20.5pt;height:0pt;width:467.7pt;z-index:251662336;mso-width-relative:page;mso-height-relative:page;" filled="f" stroked="t" coordsize="21600,21600" o:gfxdata="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Zscf12AAA&#10;AAkBAAAPAAAAAAAAAAEAIAAAACIAAABkcnMvZG93bnJldi54bWxQSwECFAAUAAAACACHTuJA/oXj&#10;P+UBAAC0AwAADgAAAAAAAAABACAAAAAnAQAAZHJzL2Uyb0RvYy54bWxQSwUGAAAAAAYABgBZAQAA&#10;fgUAAAAA&#10;">
                <v:fill on="f" focussize="0,0"/>
                <v:stroke color="#000000 [3213]" miterlimit="8" joinstyle="miter"/>
                <v:imagedata o:title=""/>
                <o:lock v:ext="edit" aspectratio="f"/>
              </v:line>
            </w:pict>
          </mc:Fallback>
        </mc:AlternateContent>
      </w:r>
      <w:r>
        <w:rPr>
          <w:rFonts w:hint="eastAsia" w:hAnsi="黑体"/>
          <w:sz w:val="28"/>
          <w:szCs w:val="28"/>
        </w:rPr>
        <w:t>202</w:t>
      </w:r>
      <w:r>
        <w:rPr>
          <w:rFonts w:hint="eastAsia" w:hAnsi="黑体"/>
          <w:sz w:val="28"/>
          <w:szCs w:val="28"/>
          <w:lang w:val="en-US" w:eastAsia="zh-CN"/>
        </w:rPr>
        <w:t>6-XX-XX</w:t>
      </w:r>
      <w:r>
        <w:rPr>
          <w:rFonts w:hint="eastAsia" w:hAnsi="黑体"/>
          <w:sz w:val="28"/>
          <w:szCs w:val="28"/>
        </w:rPr>
        <w:t xml:space="preserve">发布 </w:t>
      </w:r>
      <w:r>
        <w:rPr>
          <w:rFonts w:hAnsi="黑体"/>
          <w:sz w:val="28"/>
          <w:szCs w:val="28"/>
        </w:rPr>
        <w:t xml:space="preserve">    </w:t>
      </w:r>
      <w:r>
        <w:rPr>
          <w:rFonts w:hint="eastAsia" w:hAnsi="黑体"/>
          <w:sz w:val="28"/>
          <w:szCs w:val="28"/>
        </w:rPr>
        <w:t xml:space="preserve"> </w:t>
      </w:r>
      <w:r>
        <w:rPr>
          <w:rFonts w:hAnsi="黑体"/>
          <w:sz w:val="28"/>
          <w:szCs w:val="28"/>
        </w:rPr>
        <w:t xml:space="preserve">                     </w:t>
      </w:r>
      <w:r>
        <w:rPr>
          <w:rFonts w:hint="eastAsia" w:hAnsi="黑体"/>
          <w:sz w:val="28"/>
          <w:szCs w:val="28"/>
        </w:rPr>
        <w:t xml:space="preserve">  </w:t>
      </w:r>
      <w:r>
        <w:rPr>
          <w:rFonts w:hAnsi="黑体"/>
          <w:sz w:val="28"/>
          <w:szCs w:val="28"/>
        </w:rPr>
        <w:t xml:space="preserve">  </w:t>
      </w:r>
      <w:r>
        <w:rPr>
          <w:rFonts w:hint="eastAsia" w:hAnsi="黑体"/>
          <w:sz w:val="28"/>
          <w:szCs w:val="28"/>
        </w:rPr>
        <w:t xml:space="preserve">   </w:t>
      </w:r>
      <w:r>
        <w:rPr>
          <w:rFonts w:hAnsi="黑体"/>
          <w:sz w:val="28"/>
          <w:szCs w:val="28"/>
        </w:rPr>
        <w:t>202</w:t>
      </w:r>
      <w:r>
        <w:rPr>
          <w:rFonts w:hint="eastAsia" w:hAnsi="黑体"/>
          <w:sz w:val="28"/>
          <w:szCs w:val="28"/>
          <w:lang w:val="en-US" w:eastAsia="zh-CN"/>
        </w:rPr>
        <w:t xml:space="preserve">6-XX-XX </w:t>
      </w:r>
      <w:r>
        <w:rPr>
          <w:rFonts w:hAnsi="黑体"/>
          <w:sz w:val="28"/>
          <w:szCs w:val="28"/>
        </w:rPr>
        <w:t xml:space="preserve">实施   </w:t>
      </w:r>
    </w:p>
    <w:p w14:paraId="426921D2">
      <w:pPr>
        <w:pStyle w:val="49"/>
        <w:numPr>
          <w:ilvl w:val="0"/>
          <w:numId w:val="0"/>
        </w:numPr>
        <w:adjustRightInd w:val="0"/>
        <w:snapToGrid w:val="0"/>
        <w:spacing w:before="0" w:after="0" w:afterLines="0"/>
        <w:jc w:val="both"/>
        <w:outlineLvl w:val="9"/>
        <w:rPr>
          <w:rFonts w:hint="eastAsia" w:hAnsi="黑体"/>
          <w:sz w:val="28"/>
          <w:szCs w:val="28"/>
        </w:rPr>
      </w:pPr>
      <w:r>
        <w:rPr>
          <w:rFonts w:hAnsi="黑体"/>
          <w:sz w:val="28"/>
          <w:szCs w:val="28"/>
        </w:rPr>
        <w:t xml:space="preserve">                               </w:t>
      </w:r>
    </w:p>
    <w:p w14:paraId="6AD3CF3D">
      <w:pPr>
        <w:pStyle w:val="49"/>
        <w:numPr>
          <w:ilvl w:val="0"/>
          <w:numId w:val="0"/>
        </w:numPr>
        <w:adjustRightInd w:val="0"/>
        <w:snapToGrid w:val="0"/>
        <w:spacing w:before="0" w:after="0" w:afterLines="0"/>
        <w:jc w:val="both"/>
        <w:outlineLvl w:val="9"/>
        <w:rPr>
          <w:rFonts w:hint="eastAsia" w:hAnsi="黑体"/>
          <w:sz w:val="28"/>
          <w:szCs w:val="28"/>
        </w:rPr>
      </w:pPr>
      <w:r>
        <w:rPr>
          <w:rFonts w:hAnsi="黑体"/>
          <w:sz w:val="28"/>
          <w:szCs w:val="28"/>
        </w:rPr>
        <w:t xml:space="preserve">                          </w:t>
      </w:r>
    </w:p>
    <w:p w14:paraId="5AC25171">
      <w:pPr>
        <w:snapToGrid w:val="0"/>
        <w:spacing w:line="240" w:lineRule="auto"/>
        <w:jc w:val="center"/>
        <w:rPr>
          <w:rFonts w:hint="eastAsia" w:ascii="黑体" w:hAnsi="黑体" w:eastAsia="黑体"/>
          <w:sz w:val="28"/>
          <w:szCs w:val="28"/>
        </w:rPr>
      </w:pPr>
    </w:p>
    <w:p w14:paraId="0AE7A728">
      <w:pPr>
        <w:snapToGrid w:val="0"/>
        <w:spacing w:line="240" w:lineRule="auto"/>
        <w:jc w:val="center"/>
        <w:rPr>
          <w:rFonts w:hint="eastAsia" w:ascii="黑体" w:hAnsi="黑体" w:eastAsia="黑体"/>
          <w:sz w:val="28"/>
          <w:szCs w:val="28"/>
        </w:rPr>
        <w:sectPr>
          <w:headerReference r:id="rId5" w:type="default"/>
          <w:headerReference r:id="rId6" w:type="even"/>
          <w:footerReference r:id="rId7" w:type="even"/>
          <w:pgSz w:w="11906" w:h="16838"/>
          <w:pgMar w:top="975" w:right="1452" w:bottom="907" w:left="1440" w:header="0" w:footer="992" w:gutter="0"/>
          <w:cols w:space="425" w:num="1"/>
          <w:docGrid w:linePitch="312" w:charSpace="0"/>
        </w:sectPr>
      </w:pPr>
      <w:r>
        <w:rPr>
          <w:rFonts w:hint="eastAsia" w:ascii="黑体" w:hAnsi="黑体" w:eastAsia="黑体"/>
          <w:sz w:val="28"/>
          <w:szCs w:val="28"/>
        </w:rPr>
        <w:t>中国民族卫生协会</w:t>
      </w:r>
      <w:r>
        <w:rPr>
          <w:rFonts w:ascii="黑体" w:hAnsi="黑体" w:eastAsia="黑体"/>
          <w:sz w:val="28"/>
          <w:szCs w:val="28"/>
        </w:rPr>
        <w:t xml:space="preserve">   </w:t>
      </w:r>
      <w:r>
        <w:rPr>
          <w:rFonts w:hint="eastAsia" w:ascii="黑体" w:hAnsi="黑体" w:eastAsia="黑体"/>
          <w:sz w:val="28"/>
          <w:szCs w:val="28"/>
        </w:rPr>
        <w:t>发 布</w:t>
      </w:r>
    </w:p>
    <w:p w14:paraId="6E16055E">
      <w:pPr>
        <w:widowControl/>
        <w:shd w:val="clear" w:color="FFFFFF" w:fill="FFFFFF"/>
        <w:snapToGrid w:val="0"/>
        <w:spacing w:before="240" w:beforeLines="100" w:after="240" w:afterLines="100" w:line="288" w:lineRule="auto"/>
        <w:jc w:val="center"/>
        <w:rPr>
          <w:rFonts w:hint="eastAsia" w:ascii="黑体" w:hAnsi="黑体" w:eastAsia="黑体"/>
          <w:spacing w:val="320"/>
          <w:kern w:val="0"/>
          <w:sz w:val="32"/>
          <w:szCs w:val="32"/>
        </w:rPr>
      </w:pPr>
      <w:r>
        <w:rPr>
          <w:rFonts w:hint="eastAsia" w:ascii="黑体" w:hAnsi="黑体" w:eastAsia="黑体"/>
          <w:kern w:val="0"/>
          <w:sz w:val="32"/>
          <w:szCs w:val="32"/>
        </w:rPr>
        <w:t>目　次</w:t>
      </w:r>
    </w:p>
    <w:sdt>
      <w:sdtPr>
        <w:rPr>
          <w:rFonts w:ascii="宋体" w:hAnsi="宋体" w:eastAsia="宋体" w:cs="Times New Roman"/>
          <w:kern w:val="2"/>
          <w:sz w:val="21"/>
          <w:szCs w:val="21"/>
          <w:lang w:val="en-US" w:eastAsia="zh-CN" w:bidi="ar-SA"/>
        </w:rPr>
        <w:id w:val="147476322"/>
        <w15:color w:val="DBDBDB"/>
        <w:docPartObj>
          <w:docPartGallery w:val="Table of Contents"/>
          <w:docPartUnique/>
        </w:docPartObj>
      </w:sdtPr>
      <w:sdtEndPr>
        <w:rPr>
          <w:rFonts w:hint="eastAsia" w:ascii="黑体" w:hAnsi="黑体" w:eastAsia="黑体" w:cs="Times New Roman"/>
          <w:kern w:val="2"/>
          <w:sz w:val="21"/>
          <w:szCs w:val="28"/>
          <w:lang w:val="en-US" w:eastAsia="zh-CN" w:bidi="ar-SA"/>
        </w:rPr>
      </w:sdtEndPr>
      <w:sdtContent>
        <w:p w14:paraId="56A9FB0D">
          <w:pPr>
            <w:spacing w:before="0" w:beforeLines="0" w:after="0" w:afterLines="0" w:line="240" w:lineRule="auto"/>
            <w:ind w:left="0" w:leftChars="0" w:right="0" w:rightChars="0" w:firstLine="0" w:firstLineChars="0"/>
            <w:jc w:val="center"/>
          </w:pPr>
        </w:p>
        <w:p w14:paraId="61A967E0">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"1-1"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_Toc15494 </w:instrText>
          </w:r>
          <w:r>
            <w:rPr>
              <w:rFonts w:hint="eastAsia" w:ascii="宋体" w:hAnsi="宋体" w:eastAsia="宋体" w:cs="宋体"/>
              <w:sz w:val="21"/>
              <w:szCs w:val="21"/>
            </w:rPr>
            <w:fldChar w:fldCharType="separate"/>
          </w:r>
          <w:r>
            <w:rPr>
              <w:rFonts w:hint="eastAsia" w:ascii="宋体" w:hAnsi="宋体" w:eastAsia="宋体" w:cs="宋体"/>
              <w:bCs/>
              <w:kern w:val="0"/>
              <w:sz w:val="21"/>
              <w:szCs w:val="21"/>
            </w:rPr>
            <w:t>前　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_Toc15494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5953E34">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_Toc13619 </w:instrText>
          </w:r>
          <w:r>
            <w:rPr>
              <w:rFonts w:hint="eastAsia" w:ascii="宋体" w:hAnsi="宋体" w:eastAsia="宋体" w:cs="宋体"/>
              <w:sz w:val="21"/>
              <w:szCs w:val="21"/>
            </w:rPr>
            <w:fldChar w:fldCharType="separate"/>
          </w:r>
          <w:r>
            <w:rPr>
              <w:rFonts w:hint="eastAsia" w:ascii="宋体" w:hAnsi="宋体" w:eastAsia="宋体" w:cs="宋体"/>
              <w:bCs/>
              <w:kern w:val="0"/>
              <w:sz w:val="21"/>
              <w:szCs w:val="21"/>
            </w:rPr>
            <w:t>引　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_Toc13619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EB3F4BA">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_Toc5471 </w:instrText>
          </w:r>
          <w:r>
            <w:rPr>
              <w:rFonts w:hint="eastAsia" w:ascii="宋体" w:hAnsi="宋体" w:eastAsia="宋体" w:cs="宋体"/>
              <w:sz w:val="21"/>
              <w:szCs w:val="21"/>
            </w:rPr>
            <w:fldChar w:fldCharType="separate"/>
          </w:r>
          <w:r>
            <w:rPr>
              <w:rFonts w:hint="eastAsia" w:ascii="宋体" w:hAnsi="宋体" w:eastAsia="宋体" w:cs="宋体"/>
              <w:bCs/>
              <w:sz w:val="21"/>
              <w:szCs w:val="21"/>
            </w:rPr>
            <w:t>1 适用范围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_Toc5471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B9C8E18">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_Toc26075 </w:instrText>
          </w:r>
          <w:r>
            <w:rPr>
              <w:rFonts w:hint="eastAsia" w:ascii="宋体" w:hAnsi="宋体" w:eastAsia="宋体" w:cs="宋体"/>
              <w:sz w:val="21"/>
              <w:szCs w:val="21"/>
            </w:rPr>
            <w:fldChar w:fldCharType="separate"/>
          </w:r>
          <w:r>
            <w:rPr>
              <w:rFonts w:hint="eastAsia" w:ascii="宋体" w:hAnsi="宋体" w:eastAsia="宋体" w:cs="宋体"/>
              <w:bCs/>
              <w:sz w:val="21"/>
              <w:szCs w:val="21"/>
            </w:rPr>
            <w:t>2 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_Toc26075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3EE8825">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_Toc26465 </w:instrText>
          </w:r>
          <w:r>
            <w:rPr>
              <w:rFonts w:hint="eastAsia" w:ascii="宋体" w:hAnsi="宋体" w:eastAsia="宋体" w:cs="宋体"/>
              <w:sz w:val="21"/>
              <w:szCs w:val="21"/>
            </w:rPr>
            <w:fldChar w:fldCharType="separate"/>
          </w:r>
          <w:r>
            <w:rPr>
              <w:rFonts w:hint="eastAsia" w:ascii="宋体" w:hAnsi="宋体" w:eastAsia="宋体" w:cs="宋体"/>
              <w:bCs/>
              <w:sz w:val="21"/>
              <w:szCs w:val="21"/>
            </w:rPr>
            <w:t>3 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_Toc26465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9426FD5">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_Toc7310 </w:instrText>
          </w:r>
          <w:r>
            <w:rPr>
              <w:rFonts w:hint="eastAsia" w:ascii="宋体" w:hAnsi="宋体" w:eastAsia="宋体" w:cs="宋体"/>
              <w:sz w:val="21"/>
              <w:szCs w:val="21"/>
            </w:rPr>
            <w:fldChar w:fldCharType="separate"/>
          </w:r>
          <w:r>
            <w:rPr>
              <w:rFonts w:hint="eastAsia" w:ascii="宋体" w:hAnsi="宋体" w:eastAsia="宋体" w:cs="宋体"/>
              <w:bCs/>
              <w:sz w:val="21"/>
              <w:szCs w:val="21"/>
            </w:rPr>
            <w:t xml:space="preserve">4 </w:t>
          </w:r>
          <w:r>
            <w:rPr>
              <w:rFonts w:hint="eastAsia" w:ascii="宋体" w:hAnsi="宋体" w:eastAsia="宋体" w:cs="宋体"/>
              <w:bCs/>
              <w:sz w:val="21"/>
              <w:szCs w:val="21"/>
              <w:lang w:val="en-US" w:eastAsia="zh-CN"/>
            </w:rPr>
            <w:t>试点</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_Toc7310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0F7E007">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_Toc16381 </w:instrText>
          </w:r>
          <w:r>
            <w:rPr>
              <w:rFonts w:hint="eastAsia" w:ascii="宋体" w:hAnsi="宋体" w:eastAsia="宋体" w:cs="宋体"/>
              <w:sz w:val="21"/>
              <w:szCs w:val="21"/>
            </w:rPr>
            <w:fldChar w:fldCharType="separate"/>
          </w:r>
          <w:r>
            <w:rPr>
              <w:rFonts w:hint="eastAsia" w:ascii="宋体" w:hAnsi="宋体" w:eastAsia="宋体" w:cs="宋体"/>
              <w:bCs/>
              <w:sz w:val="21"/>
              <w:szCs w:val="21"/>
            </w:rPr>
            <w:t xml:space="preserve">5 </w:t>
          </w:r>
          <w:r>
            <w:rPr>
              <w:rFonts w:hint="eastAsia" w:ascii="宋体" w:hAnsi="宋体" w:eastAsia="宋体" w:cs="宋体"/>
              <w:bCs/>
              <w:sz w:val="21"/>
              <w:szCs w:val="21"/>
              <w:lang w:val="en-US" w:eastAsia="zh-CN"/>
            </w:rPr>
            <w:t>示范</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_Toc16381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9B31C10">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_Toc31808 </w:instrText>
          </w:r>
          <w:r>
            <w:rPr>
              <w:rFonts w:hint="eastAsia" w:ascii="宋体" w:hAnsi="宋体" w:eastAsia="宋体" w:cs="宋体"/>
              <w:sz w:val="21"/>
              <w:szCs w:val="21"/>
            </w:rPr>
            <w:fldChar w:fldCharType="separate"/>
          </w:r>
          <w:r>
            <w:rPr>
              <w:rFonts w:hint="eastAsia" w:ascii="宋体" w:hAnsi="宋体" w:eastAsia="宋体" w:cs="宋体"/>
              <w:bCs/>
              <w:sz w:val="21"/>
              <w:szCs w:val="21"/>
            </w:rPr>
            <w:t>6 推广内容</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_Toc31808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7EB9629">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_Toc17781 </w:instrText>
          </w:r>
          <w:r>
            <w:rPr>
              <w:rFonts w:hint="eastAsia" w:ascii="宋体" w:hAnsi="宋体" w:eastAsia="宋体" w:cs="宋体"/>
              <w:sz w:val="21"/>
              <w:szCs w:val="21"/>
            </w:rPr>
            <w:fldChar w:fldCharType="separate"/>
          </w:r>
          <w:r>
            <w:rPr>
              <w:rFonts w:hint="eastAsia" w:ascii="宋体" w:hAnsi="宋体" w:eastAsia="宋体" w:cs="宋体"/>
              <w:bCs/>
              <w:sz w:val="21"/>
              <w:szCs w:val="21"/>
              <w:lang w:val="en-US" w:eastAsia="zh-CN"/>
            </w:rPr>
            <w:t>7</w:t>
          </w:r>
          <w:r>
            <w:rPr>
              <w:rFonts w:hint="eastAsia" w:ascii="宋体" w:hAnsi="宋体" w:cs="宋体"/>
              <w:bCs/>
              <w:sz w:val="21"/>
              <w:szCs w:val="21"/>
              <w:lang w:val="en-US" w:eastAsia="zh-CN"/>
            </w:rPr>
            <w:t xml:space="preserve"> </w:t>
          </w:r>
          <w:r>
            <w:rPr>
              <w:rFonts w:hint="eastAsia" w:ascii="宋体" w:hAnsi="宋体" w:eastAsia="宋体" w:cs="宋体"/>
              <w:bCs/>
              <w:sz w:val="21"/>
              <w:szCs w:val="21"/>
              <w:lang w:val="en-US" w:eastAsia="zh-CN"/>
            </w:rPr>
            <w:t>推广主体</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_Toc17781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3453252">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_Toc23244 </w:instrText>
          </w:r>
          <w:r>
            <w:rPr>
              <w:rFonts w:hint="eastAsia" w:ascii="宋体" w:hAnsi="宋体" w:eastAsia="宋体" w:cs="宋体"/>
              <w:sz w:val="21"/>
              <w:szCs w:val="21"/>
            </w:rPr>
            <w:fldChar w:fldCharType="separate"/>
          </w:r>
          <w:r>
            <w:rPr>
              <w:rFonts w:hint="eastAsia" w:ascii="宋体" w:hAnsi="宋体" w:eastAsia="宋体" w:cs="宋体"/>
              <w:bCs/>
              <w:sz w:val="21"/>
              <w:szCs w:val="21"/>
              <w:lang w:val="en-US" w:eastAsia="zh-CN"/>
            </w:rPr>
            <w:t>8</w:t>
          </w:r>
          <w:r>
            <w:rPr>
              <w:rFonts w:hint="eastAsia" w:ascii="宋体" w:hAnsi="宋体" w:eastAsia="宋体" w:cs="宋体"/>
              <w:bCs/>
              <w:sz w:val="21"/>
              <w:szCs w:val="21"/>
            </w:rPr>
            <w:t xml:space="preserve"> </w:t>
          </w:r>
          <w:r>
            <w:rPr>
              <w:rFonts w:hint="eastAsia" w:ascii="宋体" w:hAnsi="宋体" w:eastAsia="宋体" w:cs="宋体"/>
              <w:bCs/>
              <w:sz w:val="21"/>
              <w:szCs w:val="21"/>
              <w:lang w:val="en-US" w:eastAsia="zh-CN"/>
            </w:rPr>
            <w:t>推广客体</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_Toc23244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FB1B8D5">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_Toc18195 </w:instrText>
          </w:r>
          <w:r>
            <w:rPr>
              <w:rFonts w:hint="eastAsia" w:ascii="宋体" w:hAnsi="宋体" w:eastAsia="宋体" w:cs="宋体"/>
              <w:sz w:val="21"/>
              <w:szCs w:val="21"/>
            </w:rPr>
            <w:fldChar w:fldCharType="separate"/>
          </w:r>
          <w:r>
            <w:rPr>
              <w:rFonts w:hint="eastAsia" w:ascii="宋体" w:hAnsi="宋体" w:eastAsia="宋体" w:cs="宋体"/>
              <w:bCs/>
              <w:sz w:val="21"/>
              <w:szCs w:val="21"/>
              <w:lang w:val="en-US" w:eastAsia="zh-CN"/>
            </w:rPr>
            <w:t>9</w:t>
          </w:r>
          <w:r>
            <w:rPr>
              <w:rFonts w:hint="eastAsia" w:ascii="宋体" w:hAnsi="宋体" w:eastAsia="宋体" w:cs="宋体"/>
              <w:bCs/>
              <w:sz w:val="21"/>
              <w:szCs w:val="21"/>
            </w:rPr>
            <w:t xml:space="preserve"> </w:t>
          </w:r>
          <w:r>
            <w:rPr>
              <w:rFonts w:hint="eastAsia" w:ascii="宋体" w:hAnsi="宋体" w:eastAsia="宋体" w:cs="宋体"/>
              <w:bCs/>
              <w:sz w:val="21"/>
              <w:szCs w:val="21"/>
              <w:lang w:val="en-US" w:eastAsia="zh-CN"/>
            </w:rPr>
            <w:t>推广原则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_Toc18195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947BB1F">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_Toc16325 </w:instrText>
          </w:r>
          <w:r>
            <w:rPr>
              <w:rFonts w:hint="eastAsia" w:ascii="宋体" w:hAnsi="宋体" w:eastAsia="宋体" w:cs="宋体"/>
              <w:sz w:val="21"/>
              <w:szCs w:val="21"/>
            </w:rPr>
            <w:fldChar w:fldCharType="separate"/>
          </w:r>
          <w:r>
            <w:rPr>
              <w:rFonts w:hint="eastAsia" w:ascii="宋体" w:hAnsi="宋体" w:eastAsia="宋体" w:cs="宋体"/>
              <w:bCs/>
              <w:sz w:val="21"/>
              <w:szCs w:val="21"/>
              <w:lang w:val="en-US" w:eastAsia="zh-CN"/>
            </w:rPr>
            <w:t>10</w:t>
          </w:r>
          <w:r>
            <w:rPr>
              <w:rFonts w:hint="eastAsia" w:ascii="宋体" w:hAnsi="宋体" w:eastAsia="宋体" w:cs="宋体"/>
              <w:bCs/>
              <w:sz w:val="21"/>
              <w:szCs w:val="21"/>
            </w:rPr>
            <w:t xml:space="preserve"> </w:t>
          </w:r>
          <w:r>
            <w:rPr>
              <w:rFonts w:hint="eastAsia" w:ascii="宋体" w:hAnsi="宋体" w:eastAsia="宋体" w:cs="宋体"/>
              <w:bCs/>
              <w:sz w:val="21"/>
              <w:szCs w:val="21"/>
              <w:lang w:val="en-US" w:eastAsia="zh-CN"/>
            </w:rPr>
            <w:t>推广成效评估</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_Toc16325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0A79706">
          <w:pPr>
            <w:pStyle w:val="15"/>
            <w:tabs>
              <w:tab w:val="right" w:leader="dot" w:pos="901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_Toc5581 </w:instrText>
          </w:r>
          <w:r>
            <w:rPr>
              <w:rFonts w:hint="eastAsia" w:ascii="宋体" w:hAnsi="宋体" w:eastAsia="宋体" w:cs="宋体"/>
              <w:sz w:val="21"/>
              <w:szCs w:val="21"/>
            </w:rPr>
            <w:fldChar w:fldCharType="separate"/>
          </w:r>
          <w:r>
            <w:rPr>
              <w:rFonts w:hint="eastAsia" w:ascii="宋体" w:hAnsi="宋体" w:eastAsia="宋体" w:cs="宋体"/>
              <w:bCs/>
              <w:spacing w:val="-2"/>
              <w:sz w:val="21"/>
              <w:szCs w:val="21"/>
            </w:rPr>
            <w:t>参考文献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_Toc5581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7B6FABB">
          <w:pPr>
            <w:snapToGrid w:val="0"/>
            <w:spacing w:line="240" w:lineRule="auto"/>
            <w:jc w:val="center"/>
            <w:sectPr>
              <w:headerReference r:id="rId8" w:type="default"/>
              <w:pgSz w:w="11906" w:h="16838"/>
              <w:pgMar w:top="975" w:right="1452" w:bottom="907" w:left="1440" w:header="851" w:footer="992" w:gutter="0"/>
              <w:cols w:space="425" w:num="1"/>
              <w:docGrid w:linePitch="312" w:charSpace="0"/>
            </w:sectPr>
          </w:pPr>
          <w:r>
            <w:rPr>
              <w:rFonts w:hint="eastAsia" w:ascii="宋体" w:hAnsi="宋体" w:eastAsia="宋体" w:cs="宋体"/>
              <w:sz w:val="21"/>
              <w:szCs w:val="21"/>
            </w:rPr>
            <w:fldChar w:fldCharType="end"/>
          </w:r>
        </w:p>
      </w:sdtContent>
    </w:sdt>
    <w:p w14:paraId="28CC1729">
      <w:pPr>
        <w:widowControl/>
        <w:shd w:val="clear" w:color="FFFFFF" w:fill="FFFFFF"/>
        <w:snapToGrid w:val="0"/>
        <w:spacing w:before="240" w:beforeLines="100" w:after="600" w:afterLines="250" w:line="288" w:lineRule="auto"/>
        <w:jc w:val="center"/>
        <w:outlineLvl w:val="0"/>
        <w:rPr>
          <w:rFonts w:hint="eastAsia" w:ascii="黑体" w:hAnsi="黑体" w:eastAsia="黑体"/>
          <w:b/>
          <w:bCs/>
          <w:spacing w:val="320"/>
          <w:kern w:val="0"/>
          <w:sz w:val="32"/>
          <w:szCs w:val="32"/>
        </w:rPr>
      </w:pPr>
      <w:bookmarkStart w:id="1" w:name="_Toc206169281"/>
      <w:bookmarkStart w:id="2" w:name="_Toc15494"/>
      <w:bookmarkStart w:id="3" w:name="_Toc206164547"/>
      <w:bookmarkStart w:id="4" w:name="_Toc24507"/>
      <w:r>
        <w:rPr>
          <w:rFonts w:hint="eastAsia" w:ascii="黑体" w:hAnsi="黑体" w:eastAsia="黑体"/>
          <w:b/>
          <w:bCs/>
          <w:kern w:val="0"/>
          <w:sz w:val="32"/>
          <w:szCs w:val="32"/>
        </w:rPr>
        <w:t>前　言</w:t>
      </w:r>
      <w:bookmarkEnd w:id="1"/>
      <w:bookmarkEnd w:id="2"/>
      <w:bookmarkEnd w:id="3"/>
      <w:bookmarkEnd w:id="4"/>
    </w:p>
    <w:p w14:paraId="38A14AC0">
      <w:pPr>
        <w:widowControl/>
        <w:autoSpaceDE w:val="0"/>
        <w:autoSpaceDN w:val="0"/>
        <w:snapToGrid w:val="0"/>
        <w:spacing w:line="360" w:lineRule="auto"/>
        <w:ind w:firstLine="420" w:firstLineChars="200"/>
        <w:jc w:val="left"/>
        <w:rPr>
          <w:rFonts w:hint="eastAsia" w:ascii="宋体" w:hAnsi="宋体"/>
          <w:kern w:val="0"/>
          <w:szCs w:val="20"/>
        </w:rPr>
      </w:pPr>
      <w:r>
        <w:rPr>
          <w:rFonts w:hint="eastAsia" w:ascii="宋体" w:hAnsi="宋体"/>
          <w:kern w:val="0"/>
          <w:szCs w:val="20"/>
        </w:rPr>
        <w:t>本标准按照</w:t>
      </w:r>
      <w:r>
        <w:rPr>
          <w:rFonts w:ascii="宋体" w:hAnsi="宋体"/>
          <w:kern w:val="0"/>
          <w:szCs w:val="20"/>
        </w:rPr>
        <w:t>GB/T 1.1—2020</w:t>
      </w:r>
      <w:r>
        <w:rPr>
          <w:rFonts w:hint="eastAsia" w:ascii="宋体" w:hAnsi="宋体"/>
          <w:kern w:val="0"/>
          <w:szCs w:val="20"/>
        </w:rPr>
        <w:t>《标准化工作导则</w:t>
      </w:r>
      <w:r>
        <w:rPr>
          <w:rFonts w:ascii="宋体" w:hAnsi="宋体"/>
          <w:kern w:val="0"/>
          <w:szCs w:val="20"/>
        </w:rPr>
        <w:t xml:space="preserve">  </w:t>
      </w:r>
      <w:r>
        <w:rPr>
          <w:rFonts w:hint="eastAsia" w:ascii="宋体" w:hAnsi="宋体"/>
          <w:kern w:val="0"/>
          <w:szCs w:val="20"/>
        </w:rPr>
        <w:t>第</w:t>
      </w:r>
      <w:r>
        <w:rPr>
          <w:rFonts w:ascii="宋体" w:hAnsi="宋体"/>
          <w:kern w:val="0"/>
          <w:szCs w:val="20"/>
        </w:rPr>
        <w:t>1</w:t>
      </w:r>
      <w:r>
        <w:rPr>
          <w:rFonts w:hint="eastAsia" w:ascii="宋体" w:hAnsi="宋体"/>
          <w:kern w:val="0"/>
          <w:szCs w:val="20"/>
        </w:rPr>
        <w:t>部分：标准化文件的结构和起草规则》的规定起草。</w:t>
      </w:r>
    </w:p>
    <w:p w14:paraId="1EBD6CD6">
      <w:pPr>
        <w:snapToGrid w:val="0"/>
        <w:spacing w:line="360" w:lineRule="auto"/>
        <w:ind w:firstLine="420" w:firstLineChars="200"/>
        <w:jc w:val="left"/>
        <w:rPr>
          <w:rFonts w:hint="eastAsia" w:ascii="宋体" w:hAnsi="宋体"/>
          <w:color w:val="030303"/>
          <w:kern w:val="0"/>
          <w:shd w:val="clear" w:color="auto" w:fill="FFFFFF"/>
          <w:lang w:bidi="ar"/>
        </w:rPr>
      </w:pPr>
      <w:r>
        <w:rPr>
          <w:rFonts w:hint="eastAsia" w:ascii="宋体" w:hAnsi="宋体"/>
          <w:color w:val="030303"/>
          <w:kern w:val="0"/>
          <w:shd w:val="clear" w:color="auto" w:fill="FFFFFF"/>
          <w:lang w:bidi="ar"/>
        </w:rPr>
        <w:t>请注意本标准的某些内容可能涉及专利。本标准的发布机构不承担识别专利的责任。</w:t>
      </w:r>
    </w:p>
    <w:p w14:paraId="64051359">
      <w:pPr>
        <w:widowControl/>
        <w:autoSpaceDE w:val="0"/>
        <w:autoSpaceDN w:val="0"/>
        <w:snapToGrid w:val="0"/>
        <w:spacing w:line="360" w:lineRule="auto"/>
        <w:ind w:firstLine="420" w:firstLineChars="200"/>
        <w:jc w:val="left"/>
        <w:rPr>
          <w:rFonts w:hint="eastAsia" w:ascii="宋体" w:hAnsi="宋体"/>
          <w:kern w:val="0"/>
          <w:szCs w:val="20"/>
        </w:rPr>
      </w:pPr>
      <w:r>
        <w:rPr>
          <w:rFonts w:hint="eastAsia" w:ascii="宋体" w:hAnsi="宋体"/>
          <w:kern w:val="0"/>
          <w:szCs w:val="20"/>
        </w:rPr>
        <w:t>本标准由北京大学提出。</w:t>
      </w:r>
    </w:p>
    <w:p w14:paraId="31C433B8">
      <w:pPr>
        <w:widowControl/>
        <w:autoSpaceDE w:val="0"/>
        <w:autoSpaceDN w:val="0"/>
        <w:snapToGrid w:val="0"/>
        <w:spacing w:line="360" w:lineRule="auto"/>
        <w:ind w:firstLine="420" w:firstLineChars="200"/>
        <w:jc w:val="left"/>
        <w:rPr>
          <w:rFonts w:hint="eastAsia" w:ascii="宋体" w:hAnsi="宋体"/>
          <w:kern w:val="0"/>
          <w:szCs w:val="20"/>
        </w:rPr>
      </w:pPr>
      <w:r>
        <w:rPr>
          <w:rFonts w:hint="eastAsia" w:ascii="宋体" w:hAnsi="宋体"/>
          <w:kern w:val="0"/>
          <w:szCs w:val="20"/>
        </w:rPr>
        <w:t>本标准由</w:t>
      </w:r>
      <w:r>
        <w:rPr>
          <w:rFonts w:hint="eastAsia" w:ascii="宋体" w:hAnsi="宋体"/>
          <w:color w:val="030303"/>
          <w:kern w:val="0"/>
          <w:shd w:val="clear" w:color="auto" w:fill="FFFFFF"/>
          <w:lang w:bidi="ar"/>
        </w:rPr>
        <w:t>中国民族卫生协会</w:t>
      </w:r>
      <w:r>
        <w:rPr>
          <w:rFonts w:hint="eastAsia" w:ascii="宋体" w:hAnsi="宋体"/>
          <w:kern w:val="0"/>
          <w:szCs w:val="20"/>
        </w:rPr>
        <w:t>归口。</w:t>
      </w:r>
    </w:p>
    <w:p w14:paraId="4F00F362">
      <w:pPr>
        <w:widowControl/>
        <w:autoSpaceDE w:val="0"/>
        <w:autoSpaceDN w:val="0"/>
        <w:adjustRightInd/>
        <w:snapToGrid w:val="0"/>
        <w:spacing w:line="360" w:lineRule="auto"/>
        <w:ind w:firstLine="420" w:firstLineChars="200"/>
        <w:jc w:val="left"/>
        <w:rPr>
          <w:rFonts w:hint="default" w:ascii="宋体" w:hAnsi="宋体" w:eastAsia="宋体"/>
          <w:kern w:val="0"/>
          <w:shd w:val="clear" w:color="auto" w:fill="FFFFFF"/>
          <w:lang w:val="en-US" w:eastAsia="zh-CN" w:bidi="ar"/>
        </w:rPr>
      </w:pPr>
      <w:r>
        <w:rPr>
          <w:rFonts w:hint="eastAsia" w:ascii="宋体" w:hAnsi="宋体"/>
          <w:kern w:val="0"/>
          <w:szCs w:val="20"/>
        </w:rPr>
        <w:t>本标准起草单位：</w:t>
      </w:r>
    </w:p>
    <w:p w14:paraId="7285D2C3">
      <w:pPr>
        <w:widowControl/>
        <w:autoSpaceDE w:val="0"/>
        <w:autoSpaceDN w:val="0"/>
        <w:snapToGrid w:val="0"/>
        <w:spacing w:line="360" w:lineRule="auto"/>
        <w:ind w:firstLine="420" w:firstLineChars="200"/>
        <w:jc w:val="left"/>
        <w:rPr>
          <w:rFonts w:hint="default" w:ascii="宋体" w:hAnsi="宋体" w:eastAsia="宋体"/>
          <w:kern w:val="0"/>
          <w:shd w:val="clear" w:color="auto" w:fill="FFFFFF"/>
          <w:lang w:val="en-US" w:eastAsia="zh-CN" w:bidi="ar"/>
        </w:rPr>
      </w:pPr>
      <w:r>
        <w:rPr>
          <w:rFonts w:hint="eastAsia" w:ascii="宋体" w:hAnsi="宋体"/>
          <w:kern w:val="0"/>
          <w:shd w:val="clear" w:color="auto" w:fill="FFFFFF"/>
          <w:lang w:bidi="ar"/>
        </w:rPr>
        <w:t xml:space="preserve">本标准主要起草人： </w:t>
      </w:r>
    </w:p>
    <w:p w14:paraId="12F36CB7">
      <w:pPr>
        <w:widowControl/>
        <w:autoSpaceDE w:val="0"/>
        <w:autoSpaceDN w:val="0"/>
        <w:adjustRightInd/>
        <w:snapToGrid w:val="0"/>
        <w:spacing w:line="360" w:lineRule="auto"/>
        <w:ind w:firstLine="420" w:firstLineChars="200"/>
        <w:jc w:val="left"/>
        <w:rPr>
          <w:rFonts w:hint="default" w:ascii="宋体" w:hAnsi="宋体" w:eastAsia="宋体"/>
          <w:kern w:val="0"/>
          <w:szCs w:val="20"/>
          <w:lang w:val="en-US" w:eastAsia="zh-CN"/>
        </w:rPr>
      </w:pPr>
      <w:r>
        <w:rPr>
          <w:rFonts w:hint="eastAsia" w:ascii="宋体" w:hAnsi="宋体"/>
          <w:kern w:val="0"/>
          <w:szCs w:val="20"/>
        </w:rPr>
        <w:t>本标准顾问：</w:t>
      </w:r>
    </w:p>
    <w:p w14:paraId="1F9E7549">
      <w:pPr>
        <w:widowControl/>
        <w:autoSpaceDE w:val="0"/>
        <w:autoSpaceDN w:val="0"/>
        <w:adjustRightInd/>
        <w:snapToGrid w:val="0"/>
        <w:spacing w:line="360" w:lineRule="auto"/>
        <w:ind w:firstLine="420" w:firstLineChars="200"/>
        <w:jc w:val="left"/>
        <w:rPr>
          <w:rFonts w:hint="eastAsia" w:ascii="宋体" w:hAnsi="宋体"/>
          <w:kern w:val="0"/>
          <w:szCs w:val="20"/>
        </w:rPr>
      </w:pPr>
      <w:r>
        <w:rPr>
          <w:rFonts w:hint="eastAsia" w:ascii="宋体" w:hAnsi="宋体"/>
          <w:kern w:val="0"/>
          <w:szCs w:val="20"/>
        </w:rPr>
        <w:t>本标准为首次发布。</w:t>
      </w:r>
    </w:p>
    <w:p w14:paraId="3BE97EEC"/>
    <w:p w14:paraId="4FB61941"/>
    <w:p w14:paraId="66AF704E">
      <w:pPr>
        <w:sectPr>
          <w:headerReference r:id="rId9" w:type="default"/>
          <w:footerReference r:id="rId10" w:type="default"/>
          <w:pgSz w:w="11906" w:h="16838"/>
          <w:pgMar w:top="975" w:right="1452" w:bottom="907" w:left="1440" w:header="851" w:footer="567" w:gutter="0"/>
          <w:pgNumType w:fmt="decimal" w:start="1"/>
          <w:cols w:space="425" w:num="1"/>
          <w:docGrid w:linePitch="312" w:charSpace="0"/>
        </w:sectPr>
      </w:pPr>
    </w:p>
    <w:p w14:paraId="55BBF238">
      <w:pPr>
        <w:autoSpaceDE w:val="0"/>
        <w:autoSpaceDN w:val="0"/>
        <w:adjustRightInd/>
        <w:spacing w:before="55" w:line="240" w:lineRule="auto"/>
        <w:ind w:right="35"/>
        <w:jc w:val="center"/>
        <w:outlineLvl w:val="0"/>
        <w:rPr>
          <w:rFonts w:hint="eastAsia" w:ascii="黑体" w:hAnsi="黑体" w:eastAsia="黑体" w:cs="黑体"/>
          <w:b/>
          <w:bCs/>
          <w:kern w:val="0"/>
          <w:sz w:val="28"/>
          <w:szCs w:val="28"/>
        </w:rPr>
      </w:pPr>
      <w:bookmarkStart w:id="5" w:name="_Toc206164548"/>
    </w:p>
    <w:p w14:paraId="0A7DB9E0">
      <w:pPr>
        <w:autoSpaceDE w:val="0"/>
        <w:autoSpaceDN w:val="0"/>
        <w:adjustRightInd/>
        <w:spacing w:before="55" w:line="240" w:lineRule="auto"/>
        <w:ind w:right="35"/>
        <w:jc w:val="center"/>
        <w:outlineLvl w:val="0"/>
        <w:rPr>
          <w:rFonts w:hint="eastAsia" w:ascii="黑体" w:hAnsi="黑体" w:eastAsia="黑体" w:cs="黑体"/>
          <w:b/>
          <w:bCs/>
          <w:kern w:val="0"/>
          <w:sz w:val="28"/>
          <w:szCs w:val="28"/>
        </w:rPr>
      </w:pPr>
      <w:bookmarkStart w:id="6" w:name="_Toc206169282"/>
      <w:bookmarkStart w:id="7" w:name="_Toc13619"/>
      <w:r>
        <w:rPr>
          <w:rFonts w:hint="eastAsia" w:ascii="黑体" w:hAnsi="黑体" w:eastAsia="黑体" w:cs="黑体"/>
          <w:b/>
          <w:bCs/>
          <w:kern w:val="0"/>
          <w:sz w:val="28"/>
          <w:szCs w:val="28"/>
        </w:rPr>
        <w:t>引　言</w:t>
      </w:r>
      <w:bookmarkEnd w:id="5"/>
      <w:bookmarkEnd w:id="6"/>
      <w:bookmarkEnd w:id="7"/>
    </w:p>
    <w:p w14:paraId="57B49A33">
      <w:pPr>
        <w:autoSpaceDE w:val="0"/>
        <w:autoSpaceDN w:val="0"/>
        <w:adjustRightInd/>
        <w:spacing w:before="55" w:line="240" w:lineRule="auto"/>
        <w:ind w:right="35"/>
        <w:jc w:val="center"/>
        <w:outlineLvl w:val="0"/>
        <w:rPr>
          <w:rFonts w:hint="eastAsia" w:ascii="黑体" w:hAnsi="黑体" w:eastAsia="黑体" w:cs="黑体"/>
          <w:b/>
          <w:bCs/>
          <w:kern w:val="0"/>
          <w:sz w:val="28"/>
          <w:szCs w:val="28"/>
        </w:rPr>
      </w:pPr>
    </w:p>
    <w:p w14:paraId="1978D061">
      <w:pPr>
        <w:widowControl/>
        <w:autoSpaceDE w:val="0"/>
        <w:autoSpaceDN w:val="0"/>
        <w:snapToGrid w:val="0"/>
        <w:spacing w:line="360" w:lineRule="auto"/>
        <w:ind w:firstLine="420" w:firstLineChars="200"/>
        <w:rPr>
          <w:rFonts w:hint="eastAsia" w:ascii="宋体" w:hAnsi="宋体"/>
          <w:color w:val="030303"/>
          <w:kern w:val="0"/>
          <w:shd w:val="clear" w:color="auto" w:fill="FFFFFF"/>
          <w:lang w:bidi="ar"/>
        </w:rPr>
      </w:pPr>
      <w:r>
        <w:rPr>
          <w:rFonts w:hint="eastAsia" w:ascii="宋体" w:hAnsi="宋体"/>
          <w:color w:val="030303"/>
          <w:kern w:val="0"/>
          <w:shd w:val="clear" w:color="auto" w:fill="FFFFFF"/>
          <w:lang w:bidi="ar"/>
        </w:rPr>
        <w:t>为贯彻落实《“健康中国2030”规划纲要》中关于“强化慢性病筛查和早期发现”、“推进慢性病防、治、管整体融合发展”的战略部署，以及《国家标准化发展纲要》关于“完善基本公共服务标准体系”、“推动医疗卫生等公共领域标准化建设”的总体要求，系统推广科学、规范、可操作的重大慢性病综合防治服务模式，特制定本标准。</w:t>
      </w:r>
    </w:p>
    <w:p w14:paraId="2321064B">
      <w:pPr>
        <w:widowControl/>
        <w:autoSpaceDE w:val="0"/>
        <w:autoSpaceDN w:val="0"/>
        <w:snapToGrid w:val="0"/>
        <w:spacing w:line="360" w:lineRule="auto"/>
        <w:ind w:firstLine="420" w:firstLineChars="200"/>
        <w:rPr>
          <w:rFonts w:hint="eastAsia" w:ascii="宋体" w:hAnsi="宋体"/>
          <w:color w:val="030303"/>
          <w:kern w:val="0"/>
          <w:shd w:val="clear" w:color="auto" w:fill="FFFFFF"/>
          <w:lang w:bidi="ar"/>
        </w:rPr>
      </w:pPr>
      <w:r>
        <w:rPr>
          <w:rFonts w:hint="eastAsia" w:ascii="宋体" w:hAnsi="宋体"/>
          <w:color w:val="030303"/>
          <w:kern w:val="0"/>
          <w:shd w:val="clear" w:color="auto" w:fill="FFFFFF"/>
          <w:lang w:bidi="ar"/>
        </w:rPr>
        <w:t>本标准聚焦心脑血管疾病、癌症、慢性呼吸系统疾病和糖尿病等重大慢性病，围绕“预防、筛查、管理、治疗、康复、护理”（“防、筛、管、治、康、护”）六个核心环节，旨在明确服务推广的技术路径、实施要求与成效评估方法。本标准规范了服务推广的基本原则、主体与客体职责、试点示范建设要求以及全流程质量控制的关键指标，以期为各级各类医疗卫生机构、相关社会组织及从业人员开展重大慢病防治服务推广工作提供统一的技术依据与操作指引。</w:t>
      </w:r>
    </w:p>
    <w:p w14:paraId="306FDF60">
      <w:pPr>
        <w:widowControl/>
        <w:autoSpaceDE w:val="0"/>
        <w:autoSpaceDN w:val="0"/>
        <w:snapToGrid w:val="0"/>
        <w:spacing w:line="360" w:lineRule="auto"/>
        <w:ind w:firstLine="420" w:firstLineChars="200"/>
        <w:rPr>
          <w:rFonts w:hint="eastAsia" w:ascii="宋体" w:hAnsi="宋体"/>
          <w:color w:val="030303"/>
          <w:kern w:val="0"/>
          <w:shd w:val="clear" w:color="auto" w:fill="FFFFFF"/>
          <w:lang w:bidi="ar"/>
        </w:rPr>
        <w:sectPr>
          <w:headerReference r:id="rId11" w:type="default"/>
          <w:footerReference r:id="rId12" w:type="default"/>
          <w:footerReference r:id="rId13" w:type="even"/>
          <w:pgSz w:w="11906" w:h="16838"/>
          <w:pgMar w:top="975" w:right="1452" w:bottom="907" w:left="1440" w:header="851" w:footer="567" w:gutter="0"/>
          <w:pgNumType w:fmt="decimal" w:start="1"/>
          <w:cols w:space="425" w:num="1"/>
          <w:docGrid w:linePitch="312" w:charSpace="0"/>
        </w:sectPr>
      </w:pPr>
      <w:r>
        <w:rPr>
          <w:rFonts w:hint="eastAsia" w:ascii="宋体" w:hAnsi="宋体"/>
          <w:color w:val="030303"/>
          <w:kern w:val="0"/>
          <w:shd w:val="clear" w:color="auto" w:fill="FFFFFF"/>
          <w:lang w:bidi="ar"/>
        </w:rPr>
        <w:t>通过本标准的实施与应用，期望能够促进优质慢病防治资源下沉，提升基层服务能力，推动医防融合与分级诊疗落地，最终实现降低重大慢病发病率、患病率与疾病负担，提升全民健康水平的目标。</w:t>
      </w:r>
    </w:p>
    <w:p w14:paraId="5D255741">
      <w:pPr>
        <w:pStyle w:val="60"/>
        <w:snapToGrid w:val="0"/>
        <w:spacing w:before="240" w:beforeLines="100" w:after="600" w:afterLines="250" w:line="288" w:lineRule="auto"/>
        <w:ind w:firstLine="640"/>
        <w:jc w:val="center"/>
        <w:rPr>
          <w:rFonts w:hint="eastAsia" w:ascii="黑体" w:hAnsi="黑体" w:eastAsia="黑体"/>
          <w:sz w:val="32"/>
          <w:szCs w:val="32"/>
        </w:rPr>
      </w:pPr>
      <w:r>
        <w:rPr>
          <w:rFonts w:hint="eastAsia" w:ascii="黑体" w:hAnsi="黑体" w:eastAsia="黑体"/>
          <w:sz w:val="32"/>
          <w:szCs w:val="32"/>
        </w:rPr>
        <w:t>重大慢病“防、筛、管、治、康、护”推广标准</w:t>
      </w:r>
    </w:p>
    <w:p w14:paraId="7C914A93">
      <w:pPr>
        <w:pStyle w:val="65"/>
        <w:numPr>
          <w:ilvl w:val="1"/>
          <w:numId w:val="0"/>
        </w:numPr>
        <w:adjustRightInd w:val="0"/>
        <w:snapToGrid w:val="0"/>
        <w:spacing w:before="240" w:after="240" w:line="360" w:lineRule="auto"/>
        <w:jc w:val="left"/>
        <w:rPr>
          <w:rFonts w:ascii="Times New Roman"/>
          <w:b/>
          <w:bCs/>
          <w:szCs w:val="21"/>
        </w:rPr>
      </w:pPr>
      <w:bookmarkStart w:id="8" w:name="_Toc206169283"/>
      <w:bookmarkStart w:id="9" w:name="_Toc5471"/>
      <w:bookmarkStart w:id="10" w:name="_Toc206164549"/>
      <w:bookmarkStart w:id="11" w:name="_Toc11532"/>
      <w:bookmarkStart w:id="12" w:name="_Toc26648466"/>
      <w:bookmarkStart w:id="13" w:name="_Toc24884219"/>
      <w:bookmarkStart w:id="14" w:name="_Toc17233326"/>
      <w:bookmarkStart w:id="15" w:name="_Toc26986531"/>
      <w:bookmarkStart w:id="16" w:name="_Toc26718931"/>
      <w:bookmarkStart w:id="17" w:name="_Toc97192965"/>
      <w:bookmarkStart w:id="18" w:name="_Toc17233334"/>
      <w:bookmarkStart w:id="19" w:name="_Toc24884212"/>
      <w:bookmarkStart w:id="20" w:name="_Toc26986772"/>
      <w:r>
        <w:rPr>
          <w:rFonts w:hint="eastAsia" w:hAnsi="黑体" w:cs="黑体"/>
          <w:b/>
          <w:bCs/>
          <w:szCs w:val="21"/>
        </w:rPr>
        <w:t>1 适用范围</w:t>
      </w:r>
      <w:bookmarkEnd w:id="8"/>
      <w:bookmarkEnd w:id="9"/>
      <w:bookmarkEnd w:id="10"/>
      <w:bookmarkEnd w:id="11"/>
      <w:r>
        <w:rPr>
          <w:rFonts w:hint="eastAsia" w:hAnsi="黑体" w:cs="黑体"/>
          <w:b/>
          <w:bCs/>
          <w:szCs w:val="21"/>
        </w:rPr>
        <w:t xml:space="preserve"> </w:t>
      </w:r>
    </w:p>
    <w:p w14:paraId="2E2DDF52">
      <w:pPr>
        <w:pStyle w:val="65"/>
        <w:numPr>
          <w:ilvl w:val="1"/>
          <w:numId w:val="0"/>
        </w:numPr>
        <w:snapToGrid w:val="0"/>
        <w:spacing w:before="240" w:after="240" w:line="360" w:lineRule="auto"/>
        <w:ind w:firstLine="420" w:firstLineChars="200"/>
        <w:rPr>
          <w:rFonts w:ascii="Times New Roman" w:eastAsia="宋体"/>
          <w:kern w:val="2"/>
          <w:szCs w:val="21"/>
        </w:rPr>
      </w:pPr>
      <w:bookmarkStart w:id="21" w:name="_Toc10100"/>
      <w:bookmarkStart w:id="22" w:name="_Toc206169284"/>
      <w:bookmarkStart w:id="23" w:name="_Toc16995"/>
      <w:bookmarkStart w:id="24" w:name="_Toc206164550"/>
      <w:r>
        <w:rPr>
          <w:rFonts w:hint="eastAsia" w:ascii="Times New Roman" w:eastAsia="宋体"/>
          <w:kern w:val="2"/>
          <w:szCs w:val="21"/>
        </w:rPr>
        <w:t>本标准规定了重大慢病“防、筛、管、治、康、护”服务技术推广服务的术语与定义、试点与示范、推广内容、推广主体、推广客体、推广原则和推广服务成效评估等方面的内容。本标准适用于重大慢病“防、筛、管、治、康、护”服务技术的推广服务。</w:t>
      </w:r>
      <w:bookmarkEnd w:id="21"/>
      <w:r>
        <w:rPr>
          <w:rFonts w:hint="eastAsia" w:ascii="Times New Roman" w:eastAsia="宋体"/>
          <w:kern w:val="2"/>
          <w:szCs w:val="21"/>
        </w:rPr>
        <w:t>推广可根据地区资源条件，选择性覆盖</w:t>
      </w:r>
      <w:r>
        <w:rPr>
          <w:rFonts w:hint="eastAsia" w:ascii="Times New Roman" w:eastAsia="宋体"/>
          <w:kern w:val="2"/>
          <w:szCs w:val="21"/>
          <w:lang w:eastAsia="zh-CN"/>
        </w:rPr>
        <w:t>“</w:t>
      </w:r>
      <w:r>
        <w:rPr>
          <w:rFonts w:hint="eastAsia" w:ascii="Times New Roman" w:eastAsia="宋体"/>
          <w:kern w:val="2"/>
          <w:szCs w:val="21"/>
        </w:rPr>
        <w:t>防、筛、管、治、康、护</w:t>
      </w:r>
      <w:r>
        <w:rPr>
          <w:rFonts w:hint="eastAsia" w:ascii="Times New Roman" w:eastAsia="宋体"/>
          <w:kern w:val="2"/>
          <w:szCs w:val="21"/>
          <w:lang w:eastAsia="zh-CN"/>
        </w:rPr>
        <w:t>”</w:t>
      </w:r>
      <w:r>
        <w:rPr>
          <w:rFonts w:hint="eastAsia" w:ascii="Times New Roman" w:eastAsia="宋体"/>
          <w:kern w:val="2"/>
          <w:szCs w:val="21"/>
        </w:rPr>
        <w:t>中的部分环节，不要求一次性全覆盖。</w:t>
      </w:r>
    </w:p>
    <w:p w14:paraId="6006B93B">
      <w:pPr>
        <w:pStyle w:val="65"/>
        <w:numPr>
          <w:ilvl w:val="1"/>
          <w:numId w:val="0"/>
        </w:numPr>
        <w:adjustRightInd w:val="0"/>
        <w:snapToGrid w:val="0"/>
        <w:spacing w:before="240" w:after="240" w:line="360" w:lineRule="auto"/>
        <w:jc w:val="left"/>
        <w:rPr>
          <w:rFonts w:hint="eastAsia" w:ascii="Times New Roman"/>
          <w:b/>
          <w:bCs/>
          <w:szCs w:val="21"/>
        </w:rPr>
      </w:pPr>
      <w:bookmarkStart w:id="25" w:name="_Toc26075"/>
      <w:r>
        <w:rPr>
          <w:rFonts w:hint="eastAsia" w:hAnsi="黑体" w:cs="黑体"/>
          <w:b/>
          <w:bCs/>
          <w:szCs w:val="21"/>
        </w:rPr>
        <w:t>2 规范</w:t>
      </w:r>
      <w:r>
        <w:rPr>
          <w:rFonts w:ascii="Times New Roman"/>
          <w:b/>
          <w:bCs/>
          <w:szCs w:val="21"/>
        </w:rPr>
        <w:t>性引用文件</w:t>
      </w:r>
      <w:bookmarkEnd w:id="12"/>
      <w:bookmarkEnd w:id="13"/>
      <w:bookmarkEnd w:id="14"/>
      <w:bookmarkEnd w:id="15"/>
      <w:bookmarkEnd w:id="16"/>
      <w:bookmarkEnd w:id="17"/>
      <w:bookmarkEnd w:id="18"/>
      <w:bookmarkEnd w:id="19"/>
      <w:bookmarkEnd w:id="20"/>
      <w:bookmarkEnd w:id="22"/>
      <w:bookmarkEnd w:id="23"/>
      <w:bookmarkEnd w:id="24"/>
      <w:bookmarkEnd w:id="25"/>
      <w:r>
        <w:rPr>
          <w:rFonts w:hint="eastAsia" w:ascii="Times New Roman"/>
          <w:b/>
          <w:bCs/>
          <w:szCs w:val="21"/>
        </w:rPr>
        <w:t xml:space="preserve">  </w:t>
      </w:r>
    </w:p>
    <w:p w14:paraId="7CFCF029">
      <w:pPr>
        <w:spacing w:line="360" w:lineRule="auto"/>
        <w:ind w:firstLine="420" w:firstLineChars="200"/>
        <w:rPr>
          <w:rFonts w:ascii="Times New Roman" w:hAnsi="Times New Roman"/>
        </w:rPr>
      </w:pPr>
      <w:r>
        <w:rPr>
          <w:rFonts w:hint="eastAsia" w:ascii="Times New Roman" w:hAnsi="Times New Roman"/>
        </w:rPr>
        <w:t>下列文件中的内容通过文中的规范性引用而构成本文件必不可少的条款。其中，标注日期的引用文件，仅该日期对应的版本适用于本文件；不标注日期的引用文件，其最新版本（包括所有的修改单）适用于本文件。</w:t>
      </w:r>
    </w:p>
    <w:p w14:paraId="0576A7BF">
      <w:pPr>
        <w:spacing w:line="360" w:lineRule="auto"/>
        <w:ind w:firstLine="420" w:firstLineChars="200"/>
        <w:rPr>
          <w:rFonts w:ascii="Times New Roman" w:hAnsi="Times New Roman"/>
        </w:rPr>
      </w:pPr>
      <w:bookmarkStart w:id="26" w:name="_Toc97192966"/>
      <w:r>
        <w:rPr>
          <w:rFonts w:hint="eastAsia" w:ascii="Times New Roman" w:hAnsi="Times New Roman"/>
        </w:rPr>
        <w:t>GB/T 14396-2016 疾病分类与代码</w:t>
      </w:r>
    </w:p>
    <w:p w14:paraId="5C8AD54A">
      <w:pPr>
        <w:spacing w:line="360" w:lineRule="auto"/>
        <w:ind w:firstLine="420" w:firstLineChars="200"/>
        <w:rPr>
          <w:rFonts w:hint="eastAsia" w:ascii="Times New Roman" w:hAnsi="Times New Roman"/>
        </w:rPr>
      </w:pPr>
      <w:r>
        <w:rPr>
          <w:rFonts w:hint="eastAsia" w:ascii="Times New Roman" w:hAnsi="Times New Roman"/>
        </w:rPr>
        <w:t>T/CRHA150-2025</w:t>
      </w:r>
      <w:r>
        <w:rPr>
          <w:rFonts w:hint="eastAsia" w:ascii="Times New Roman" w:hAnsi="Times New Roman"/>
          <w:lang w:val="en-US" w:eastAsia="zh-CN"/>
        </w:rPr>
        <w:t xml:space="preserve"> </w:t>
      </w:r>
      <w:r>
        <w:rPr>
          <w:rFonts w:hint="eastAsia" w:ascii="Times New Roman" w:hAnsi="Times New Roman"/>
        </w:rPr>
        <w:t>慢病医防融合分级诊疗指南</w:t>
      </w:r>
    </w:p>
    <w:p w14:paraId="678253D4">
      <w:pPr>
        <w:spacing w:line="360" w:lineRule="auto"/>
        <w:ind w:firstLine="420" w:firstLineChars="200"/>
        <w:rPr>
          <w:rFonts w:ascii="Times New Roman" w:hAnsi="Times New Roman"/>
        </w:rPr>
      </w:pPr>
      <w:r>
        <w:rPr>
          <w:rFonts w:hint="eastAsia" w:ascii="Times New Roman" w:hAnsi="Times New Roman"/>
        </w:rPr>
        <w:t>T/CIATCM 019-2019</w:t>
      </w:r>
      <w:r>
        <w:rPr>
          <w:rFonts w:hint="eastAsia" w:ascii="Times New Roman" w:hAnsi="Times New Roman"/>
          <w:lang w:val="en-US" w:eastAsia="zh-CN"/>
        </w:rPr>
        <w:t xml:space="preserve"> </w:t>
      </w:r>
      <w:r>
        <w:rPr>
          <w:rFonts w:hint="eastAsia" w:ascii="Times New Roman" w:hAnsi="Times New Roman"/>
        </w:rPr>
        <w:t>中医临床路径信息系统基本功能规范</w:t>
      </w:r>
    </w:p>
    <w:p w14:paraId="23C2C27A">
      <w:pPr>
        <w:spacing w:line="360" w:lineRule="auto"/>
        <w:ind w:firstLine="420" w:firstLineChars="200"/>
        <w:rPr>
          <w:rFonts w:ascii="Times New Roman" w:hAnsi="Times New Roman"/>
        </w:rPr>
      </w:pPr>
      <w:r>
        <w:rPr>
          <w:rFonts w:hint="eastAsia" w:ascii="Times New Roman" w:hAnsi="Times New Roman"/>
        </w:rPr>
        <w:t>T/CACM 1613-2024</w:t>
      </w:r>
      <w:r>
        <w:rPr>
          <w:rFonts w:hint="eastAsia" w:ascii="Times New Roman" w:hAnsi="Times New Roman"/>
          <w:lang w:val="en-US" w:eastAsia="zh-CN"/>
        </w:rPr>
        <w:t xml:space="preserve"> </w:t>
      </w:r>
      <w:r>
        <w:rPr>
          <w:rFonts w:hint="eastAsia" w:ascii="Times New Roman" w:hAnsi="Times New Roman"/>
        </w:rPr>
        <w:t>非小细胞癌中西医结合诊疗指南</w:t>
      </w:r>
    </w:p>
    <w:p w14:paraId="2026D924">
      <w:pPr>
        <w:spacing w:line="360" w:lineRule="auto"/>
        <w:ind w:firstLine="420" w:firstLineChars="200"/>
        <w:rPr>
          <w:rFonts w:ascii="Times New Roman" w:hAnsi="Times New Roman"/>
        </w:rPr>
      </w:pPr>
      <w:r>
        <w:rPr>
          <w:rFonts w:hint="eastAsia" w:ascii="Times New Roman" w:hAnsi="Times New Roman"/>
        </w:rPr>
        <w:t>T/CADERM 3032-2020</w:t>
      </w:r>
      <w:r>
        <w:rPr>
          <w:rFonts w:hint="eastAsia" w:ascii="Times New Roman" w:hAnsi="Times New Roman"/>
          <w:lang w:val="en-US" w:eastAsia="zh-CN"/>
        </w:rPr>
        <w:t xml:space="preserve"> </w:t>
      </w:r>
      <w:r>
        <w:rPr>
          <w:rFonts w:hint="eastAsia" w:ascii="Times New Roman" w:hAnsi="Times New Roman"/>
        </w:rPr>
        <w:t>创伤中心多学科协作诊治规范</w:t>
      </w:r>
    </w:p>
    <w:p w14:paraId="1AFBC457">
      <w:pPr>
        <w:spacing w:line="360" w:lineRule="auto"/>
        <w:ind w:firstLine="420" w:firstLineChars="200"/>
        <w:rPr>
          <w:rFonts w:ascii="Times New Roman" w:hAnsi="Times New Roman"/>
        </w:rPr>
      </w:pPr>
      <w:r>
        <w:rPr>
          <w:rFonts w:hint="eastAsia" w:ascii="Times New Roman" w:hAnsi="Times New Roman"/>
        </w:rPr>
        <w:t>T/NXBX 044-2025</w:t>
      </w:r>
      <w:r>
        <w:rPr>
          <w:rFonts w:hint="eastAsia" w:ascii="Times New Roman" w:hAnsi="Times New Roman"/>
          <w:lang w:val="en-US" w:eastAsia="zh-CN"/>
        </w:rPr>
        <w:t xml:space="preserve"> </w:t>
      </w:r>
      <w:r>
        <w:rPr>
          <w:rFonts w:hint="eastAsia" w:ascii="Times New Roman" w:hAnsi="Times New Roman"/>
        </w:rPr>
        <w:t>居家老年人康养照护（高级）人员从业技能规范</w:t>
      </w:r>
    </w:p>
    <w:p w14:paraId="21D9187B">
      <w:pPr>
        <w:spacing w:line="360" w:lineRule="auto"/>
        <w:ind w:firstLine="420" w:firstLineChars="200"/>
        <w:rPr>
          <w:rFonts w:hint="eastAsia" w:ascii="Times New Roman" w:hAnsi="Times New Roman"/>
        </w:rPr>
      </w:pPr>
      <w:r>
        <w:rPr>
          <w:rFonts w:hint="eastAsia" w:ascii="Times New Roman" w:hAnsi="Times New Roman"/>
        </w:rPr>
        <w:t>T/CALC 010-2025</w:t>
      </w:r>
      <w:r>
        <w:rPr>
          <w:rFonts w:hint="eastAsia" w:ascii="Times New Roman" w:hAnsi="Times New Roman"/>
          <w:lang w:val="en-US" w:eastAsia="zh-CN"/>
        </w:rPr>
        <w:t xml:space="preserve"> </w:t>
      </w:r>
      <w:r>
        <w:rPr>
          <w:rFonts w:hint="eastAsia" w:ascii="Times New Roman" w:hAnsi="Times New Roman"/>
        </w:rPr>
        <w:t>安宁疗护人文关怀服务指南</w:t>
      </w:r>
    </w:p>
    <w:p w14:paraId="24431BDF">
      <w:pPr>
        <w:spacing w:line="360" w:lineRule="auto"/>
        <w:ind w:firstLine="420" w:firstLineChars="200"/>
        <w:rPr>
          <w:rFonts w:hint="eastAsia" w:ascii="Times New Roman" w:hAnsi="Times New Roman"/>
        </w:rPr>
      </w:pPr>
      <w:r>
        <w:rPr>
          <w:rFonts w:hint="eastAsia" w:ascii="Times New Roman" w:hAnsi="Times New Roman"/>
        </w:rPr>
        <w:t>T/JPMA 029-2025</w:t>
      </w:r>
      <w:r>
        <w:rPr>
          <w:rFonts w:hint="eastAsia" w:ascii="Times New Roman" w:hAnsi="Times New Roman"/>
          <w:lang w:val="en-US" w:eastAsia="zh-CN"/>
        </w:rPr>
        <w:t xml:space="preserve"> </w:t>
      </w:r>
      <w:r>
        <w:rPr>
          <w:rFonts w:hint="eastAsia" w:ascii="Times New Roman" w:hAnsi="Times New Roman"/>
        </w:rPr>
        <w:t>社区心血管病高危人群随访管理规范</w:t>
      </w:r>
    </w:p>
    <w:p w14:paraId="2215857A">
      <w:pPr>
        <w:pStyle w:val="65"/>
        <w:numPr>
          <w:ilvl w:val="1"/>
          <w:numId w:val="0"/>
        </w:numPr>
        <w:adjustRightInd w:val="0"/>
        <w:snapToGrid w:val="0"/>
        <w:spacing w:before="240" w:after="240" w:line="360" w:lineRule="auto"/>
        <w:jc w:val="left"/>
        <w:rPr>
          <w:rFonts w:ascii="Times New Roman"/>
          <w:b/>
          <w:bCs/>
          <w:szCs w:val="21"/>
        </w:rPr>
      </w:pPr>
      <w:bookmarkStart w:id="27" w:name="_Toc206164551"/>
      <w:bookmarkStart w:id="28" w:name="_Toc206169285"/>
      <w:bookmarkStart w:id="29" w:name="_Toc26465"/>
      <w:bookmarkStart w:id="30" w:name="_Toc6857"/>
      <w:r>
        <w:rPr>
          <w:rFonts w:hint="eastAsia" w:hAnsi="黑体" w:cs="黑体"/>
          <w:b/>
          <w:bCs/>
          <w:szCs w:val="21"/>
        </w:rPr>
        <w:t xml:space="preserve">3 </w:t>
      </w:r>
      <w:r>
        <w:rPr>
          <w:rFonts w:ascii="Times New Roman"/>
          <w:b/>
          <w:bCs/>
          <w:szCs w:val="21"/>
        </w:rPr>
        <w:t>术语和定义</w:t>
      </w:r>
      <w:bookmarkEnd w:id="26"/>
      <w:bookmarkEnd w:id="27"/>
      <w:bookmarkEnd w:id="28"/>
      <w:bookmarkEnd w:id="29"/>
      <w:bookmarkEnd w:id="30"/>
    </w:p>
    <w:p w14:paraId="59BF036B">
      <w:pPr>
        <w:pStyle w:val="60"/>
        <w:spacing w:line="360" w:lineRule="auto"/>
        <w:ind w:firstLine="420"/>
        <w:rPr>
          <w:rFonts w:ascii="Times New Roman"/>
        </w:rPr>
      </w:pPr>
      <w:bookmarkStart w:id="31" w:name="_Toc26986532"/>
      <w:bookmarkEnd w:id="31"/>
      <w:r>
        <w:rPr>
          <w:rFonts w:ascii="Times New Roman"/>
        </w:rPr>
        <w:t>下列术语和定义适用于本</w:t>
      </w:r>
      <w:r>
        <w:rPr>
          <w:rFonts w:hint="eastAsia" w:ascii="Times New Roman"/>
        </w:rPr>
        <w:t>标准</w:t>
      </w:r>
      <w:r>
        <w:rPr>
          <w:rFonts w:ascii="Times New Roman"/>
        </w:rPr>
        <w:t>。</w:t>
      </w:r>
    </w:p>
    <w:p w14:paraId="6FA1C98A">
      <w:pPr>
        <w:pStyle w:val="60"/>
        <w:spacing w:line="360" w:lineRule="auto"/>
        <w:ind w:left="0" w:leftChars="0" w:firstLine="0" w:firstLineChars="0"/>
        <w:rPr>
          <w:rFonts w:hint="eastAsia" w:ascii="黑体" w:hAnsi="黑体" w:eastAsia="黑体" w:cs="黑体"/>
          <w:b/>
          <w:bCs/>
        </w:rPr>
      </w:pPr>
      <w:r>
        <w:rPr>
          <w:rFonts w:hint="eastAsia" w:ascii="黑体" w:hAnsi="黑体" w:eastAsia="黑体" w:cs="黑体"/>
          <w:b/>
          <w:bCs/>
        </w:rPr>
        <w:t xml:space="preserve">3.1 重大慢病 </w:t>
      </w:r>
      <w:r>
        <w:rPr>
          <w:rFonts w:hint="eastAsia" w:ascii="Times New Roman"/>
          <w:b/>
          <w:bCs/>
          <w:lang w:val="en-US" w:eastAsia="zh-CN"/>
        </w:rPr>
        <w:t>major Chronic Diseases</w:t>
      </w:r>
    </w:p>
    <w:p w14:paraId="030B56B1">
      <w:pPr>
        <w:pStyle w:val="60"/>
        <w:spacing w:line="360" w:lineRule="auto"/>
        <w:ind w:firstLine="420"/>
        <w:rPr>
          <w:rFonts w:ascii="Times New Roman"/>
        </w:rPr>
      </w:pPr>
      <w:r>
        <w:rPr>
          <w:rFonts w:hint="eastAsia" w:ascii="Times New Roman"/>
        </w:rPr>
        <w:t>指病程长、发病率高、疾病负担重，对居民健康威胁显著的慢性疾病，本标准特指癌症、心脑血管疾病、慢性呼吸系统疾病、代谢性疾病（以糖尿病为代表）四大类疾病。</w:t>
      </w:r>
    </w:p>
    <w:p w14:paraId="3A987F1C">
      <w:pPr>
        <w:pStyle w:val="60"/>
        <w:spacing w:line="360" w:lineRule="auto"/>
        <w:ind w:left="0" w:leftChars="0" w:firstLine="0" w:firstLineChars="0"/>
        <w:rPr>
          <w:rFonts w:hint="eastAsia" w:ascii="黑体" w:hAnsi="黑体" w:eastAsia="黑体" w:cs="黑体"/>
          <w:b/>
          <w:bCs/>
        </w:rPr>
      </w:pPr>
      <w:r>
        <w:rPr>
          <w:rFonts w:hint="eastAsia" w:ascii="黑体" w:hAnsi="黑体" w:eastAsia="黑体" w:cs="黑体"/>
          <w:b/>
          <w:bCs/>
        </w:rPr>
        <w:t xml:space="preserve">3.2 </w:t>
      </w:r>
      <w:r>
        <w:rPr>
          <w:rFonts w:hint="eastAsia" w:ascii="黑体" w:hAnsi="黑体" w:eastAsia="黑体" w:cs="黑体"/>
          <w:b/>
          <w:bCs/>
          <w:lang w:val="en-US" w:eastAsia="zh-CN"/>
        </w:rPr>
        <w:t>预</w:t>
      </w:r>
      <w:r>
        <w:rPr>
          <w:rFonts w:hint="eastAsia" w:ascii="黑体" w:hAnsi="黑体" w:eastAsia="黑体" w:cs="黑体"/>
          <w:b/>
          <w:bCs/>
        </w:rPr>
        <w:t>防</w:t>
      </w:r>
      <w:r>
        <w:rPr>
          <w:rFonts w:hint="eastAsia" w:ascii="黑体" w:hAnsi="黑体" w:eastAsia="黑体" w:cs="黑体"/>
          <w:b/>
          <w:bCs/>
          <w:lang w:val="en-US" w:eastAsia="zh-CN"/>
        </w:rPr>
        <w:t xml:space="preserve"> </w:t>
      </w:r>
      <w:r>
        <w:rPr>
          <w:rFonts w:hint="eastAsia" w:ascii="Times New Roman"/>
          <w:b/>
          <w:bCs/>
          <w:lang w:val="en-US" w:eastAsia="zh-CN"/>
        </w:rPr>
        <w:t>prevention</w:t>
      </w:r>
    </w:p>
    <w:p w14:paraId="56D4A83A">
      <w:pPr>
        <w:pStyle w:val="60"/>
        <w:spacing w:line="360" w:lineRule="auto"/>
        <w:ind w:left="0" w:leftChars="0" w:firstLine="420" w:firstLineChars="200"/>
        <w:rPr>
          <w:rFonts w:hint="eastAsia" w:ascii="Times New Roman"/>
        </w:rPr>
      </w:pPr>
      <w:r>
        <w:rPr>
          <w:rFonts w:hint="eastAsia" w:ascii="Times New Roman"/>
        </w:rPr>
        <w:t>主要分为三级预防：一级预防（病因预防），通过消除或减少疾病病因或危险因素，预防疾病的发生；二级预防（早诊早治），通过早期发现、早期诊断和早期治疗，提高患者的治愈率和生存率；三级预防（康复治疗），通过规范治疗和康复管理，改善患者的生活质量，延长生存时间。</w:t>
      </w:r>
    </w:p>
    <w:p w14:paraId="65CF7569">
      <w:pPr>
        <w:pStyle w:val="60"/>
        <w:spacing w:line="360" w:lineRule="auto"/>
        <w:ind w:left="0" w:leftChars="0" w:firstLine="0" w:firstLineChars="0"/>
        <w:rPr>
          <w:rFonts w:hint="eastAsia" w:ascii="黑体" w:hAnsi="黑体" w:eastAsia="黑体" w:cs="黑体"/>
          <w:b/>
          <w:bCs/>
        </w:rPr>
      </w:pPr>
      <w:r>
        <w:rPr>
          <w:rFonts w:hint="eastAsia" w:ascii="黑体" w:hAnsi="黑体" w:eastAsia="黑体" w:cs="黑体"/>
          <w:b/>
          <w:bCs/>
        </w:rPr>
        <w:t>3.3 筛</w:t>
      </w:r>
      <w:r>
        <w:rPr>
          <w:rFonts w:hint="eastAsia" w:ascii="黑体" w:hAnsi="黑体" w:eastAsia="黑体" w:cs="黑体"/>
          <w:b/>
          <w:bCs/>
          <w:lang w:val="en-US" w:eastAsia="zh-CN"/>
        </w:rPr>
        <w:t xml:space="preserve">查 </w:t>
      </w:r>
      <w:r>
        <w:rPr>
          <w:rFonts w:hint="eastAsia" w:ascii="Times New Roman"/>
          <w:b/>
          <w:bCs/>
          <w:lang w:val="en-US" w:eastAsia="zh-CN"/>
        </w:rPr>
        <w:t>screening</w:t>
      </w:r>
    </w:p>
    <w:p w14:paraId="01DD17D0">
      <w:pPr>
        <w:pStyle w:val="60"/>
        <w:spacing w:line="360" w:lineRule="auto"/>
        <w:ind w:firstLine="420"/>
        <w:rPr>
          <w:rFonts w:ascii="Times New Roman"/>
        </w:rPr>
      </w:pPr>
      <w:r>
        <w:rPr>
          <w:rFonts w:hint="eastAsia" w:ascii="Times New Roman"/>
        </w:rPr>
        <w:t>通过有效、简便、经济的检查措施，在无症状人群中识别和发现具有进展潜能的疾病前期患者，以期早期发现、早期诊断及早期治疗，其最终目的是降低人群死亡率。</w:t>
      </w:r>
    </w:p>
    <w:p w14:paraId="1DF600A2">
      <w:pPr>
        <w:pStyle w:val="60"/>
        <w:spacing w:line="360" w:lineRule="auto"/>
        <w:ind w:left="0" w:leftChars="0" w:firstLine="0" w:firstLineChars="0"/>
        <w:rPr>
          <w:rFonts w:hint="eastAsia" w:ascii="黑体" w:hAnsi="黑体" w:eastAsia="黑体" w:cs="黑体"/>
          <w:b/>
          <w:bCs/>
        </w:rPr>
      </w:pPr>
      <w:r>
        <w:rPr>
          <w:rFonts w:hint="eastAsia" w:ascii="黑体" w:hAnsi="黑体" w:eastAsia="黑体" w:cs="黑体"/>
          <w:b/>
          <w:bCs/>
        </w:rPr>
        <w:t>3.4 管</w:t>
      </w:r>
      <w:r>
        <w:rPr>
          <w:rFonts w:hint="eastAsia" w:ascii="黑体" w:hAnsi="黑体" w:eastAsia="黑体" w:cs="黑体"/>
          <w:b/>
          <w:bCs/>
          <w:lang w:val="en-US" w:eastAsia="zh-CN"/>
        </w:rPr>
        <w:t xml:space="preserve">理 </w:t>
      </w:r>
      <w:r>
        <w:rPr>
          <w:rFonts w:hint="eastAsia" w:ascii="Times New Roman"/>
          <w:b/>
          <w:bCs/>
          <w:lang w:val="en-US" w:eastAsia="zh-CN"/>
        </w:rPr>
        <w:t>management</w:t>
      </w:r>
    </w:p>
    <w:p w14:paraId="19E7383E">
      <w:pPr>
        <w:pStyle w:val="60"/>
        <w:spacing w:line="360" w:lineRule="auto"/>
        <w:ind w:firstLine="420"/>
        <w:rPr>
          <w:rFonts w:ascii="Times New Roman"/>
        </w:rPr>
      </w:pPr>
      <w:r>
        <w:rPr>
          <w:rFonts w:hint="eastAsia" w:ascii="Times New Roman"/>
        </w:rPr>
        <w:t>对个体或群体健康进行监测、分析、评估，提供健康咨询和指导，及对影响健康的危险因素进行干预的过程。</w:t>
      </w:r>
    </w:p>
    <w:p w14:paraId="271A033C">
      <w:pPr>
        <w:pStyle w:val="60"/>
        <w:spacing w:line="360" w:lineRule="auto"/>
        <w:ind w:left="0" w:leftChars="0" w:firstLine="0" w:firstLineChars="0"/>
        <w:rPr>
          <w:rFonts w:hint="eastAsia" w:ascii="黑体" w:hAnsi="黑体" w:eastAsia="黑体" w:cs="黑体"/>
          <w:b/>
          <w:bCs/>
        </w:rPr>
      </w:pPr>
      <w:r>
        <w:rPr>
          <w:rFonts w:hint="eastAsia" w:ascii="黑体" w:hAnsi="黑体" w:eastAsia="黑体" w:cs="黑体"/>
          <w:b/>
          <w:bCs/>
        </w:rPr>
        <w:t>3.5 治</w:t>
      </w:r>
      <w:r>
        <w:rPr>
          <w:rFonts w:hint="eastAsia" w:ascii="黑体" w:hAnsi="黑体" w:eastAsia="黑体" w:cs="黑体"/>
          <w:b/>
          <w:bCs/>
          <w:lang w:val="en-US" w:eastAsia="zh-CN"/>
        </w:rPr>
        <w:t xml:space="preserve">疗 </w:t>
      </w:r>
      <w:r>
        <w:rPr>
          <w:rFonts w:hint="eastAsia" w:ascii="Times New Roman"/>
          <w:b/>
          <w:bCs/>
          <w:lang w:val="en-US" w:eastAsia="zh-CN"/>
        </w:rPr>
        <w:t>treatment</w:t>
      </w:r>
    </w:p>
    <w:p w14:paraId="56656669">
      <w:pPr>
        <w:pStyle w:val="60"/>
        <w:spacing w:line="360" w:lineRule="auto"/>
        <w:ind w:firstLine="420"/>
        <w:rPr>
          <w:rFonts w:ascii="Times New Roman"/>
        </w:rPr>
      </w:pPr>
      <w:r>
        <w:rPr>
          <w:rFonts w:hint="eastAsia" w:ascii="Times New Roman"/>
        </w:rPr>
        <w:t>针对某种医学状况，通过补充物质的方法进行的处置；或采取其他措施进行的辅助治疗。</w:t>
      </w:r>
    </w:p>
    <w:p w14:paraId="09057933">
      <w:pPr>
        <w:pStyle w:val="60"/>
        <w:spacing w:line="360" w:lineRule="auto"/>
        <w:ind w:left="0" w:leftChars="0" w:firstLine="0" w:firstLineChars="0"/>
        <w:rPr>
          <w:rFonts w:hint="eastAsia" w:ascii="黑体" w:hAnsi="黑体" w:eastAsia="黑体" w:cs="黑体"/>
          <w:b/>
          <w:bCs/>
        </w:rPr>
      </w:pPr>
      <w:r>
        <w:rPr>
          <w:rFonts w:hint="eastAsia" w:ascii="黑体" w:hAnsi="黑体" w:eastAsia="黑体" w:cs="黑体"/>
          <w:b/>
          <w:bCs/>
        </w:rPr>
        <w:t>3.6 康</w:t>
      </w:r>
      <w:r>
        <w:rPr>
          <w:rFonts w:hint="eastAsia" w:ascii="黑体" w:hAnsi="黑体" w:eastAsia="黑体" w:cs="黑体"/>
          <w:b/>
          <w:bCs/>
          <w:lang w:val="en-US" w:eastAsia="zh-CN"/>
        </w:rPr>
        <w:t>复</w:t>
      </w:r>
      <w:r>
        <w:rPr>
          <w:rFonts w:hint="eastAsia" w:ascii="Times New Roman"/>
          <w:b/>
          <w:bCs/>
          <w:lang w:val="en-US" w:eastAsia="zh-CN"/>
        </w:rPr>
        <w:t xml:space="preserve"> rehabilitation</w:t>
      </w:r>
    </w:p>
    <w:p w14:paraId="0B16AA5B">
      <w:pPr>
        <w:pStyle w:val="60"/>
        <w:spacing w:line="360" w:lineRule="auto"/>
        <w:ind w:firstLine="420"/>
        <w:rPr>
          <w:rFonts w:ascii="Times New Roman"/>
        </w:rPr>
      </w:pPr>
      <w:r>
        <w:rPr>
          <w:rFonts w:hint="eastAsia" w:ascii="Times New Roman"/>
        </w:rPr>
        <w:t>指应用药物、运动、营养、精神心理及行为干预、戒烟限酒等方式及综合性医疗措施，使患者获得正常或者接近正常的生活状态，降低其复发风险，尽早恢复体力和回归社会。</w:t>
      </w:r>
    </w:p>
    <w:p w14:paraId="5D05D12A">
      <w:pPr>
        <w:pStyle w:val="60"/>
        <w:spacing w:line="360" w:lineRule="auto"/>
        <w:ind w:left="0" w:leftChars="0" w:firstLine="0" w:firstLineChars="0"/>
        <w:rPr>
          <w:rFonts w:hint="default" w:ascii="黑体" w:hAnsi="黑体" w:eastAsia="黑体" w:cs="黑体"/>
          <w:b/>
          <w:bCs/>
          <w:lang w:val="en-US"/>
        </w:rPr>
      </w:pPr>
      <w:r>
        <w:rPr>
          <w:rFonts w:hint="eastAsia" w:ascii="黑体" w:hAnsi="黑体" w:eastAsia="黑体" w:cs="黑体"/>
          <w:b/>
          <w:bCs/>
        </w:rPr>
        <w:t>3.7</w:t>
      </w:r>
      <w:r>
        <w:rPr>
          <w:rFonts w:hint="eastAsia" w:ascii="黑体" w:hAnsi="黑体" w:eastAsia="黑体" w:cs="黑体"/>
          <w:b/>
          <w:bCs/>
          <w:lang w:val="en-US" w:eastAsia="zh-CN"/>
        </w:rPr>
        <w:t xml:space="preserve"> 护理 nursing</w:t>
      </w:r>
    </w:p>
    <w:p w14:paraId="7F922139">
      <w:pPr>
        <w:pStyle w:val="60"/>
        <w:spacing w:line="360" w:lineRule="auto"/>
        <w:ind w:firstLine="420"/>
        <w:rPr>
          <w:rFonts w:ascii="Times New Roman"/>
        </w:rPr>
      </w:pPr>
      <w:r>
        <w:rPr>
          <w:rFonts w:hint="eastAsia" w:ascii="Times New Roman"/>
        </w:rPr>
        <w:t>为患者提供</w:t>
      </w:r>
      <w:r>
        <w:rPr>
          <w:rFonts w:hint="eastAsia" w:ascii="Times New Roman"/>
          <w:lang w:val="en-US" w:eastAsia="zh-CN"/>
        </w:rPr>
        <w:t>医院、机构或</w:t>
      </w:r>
      <w:r>
        <w:rPr>
          <w:rFonts w:hint="eastAsia" w:ascii="Times New Roman"/>
        </w:rPr>
        <w:t>居家</w:t>
      </w:r>
      <w:r>
        <w:rPr>
          <w:rFonts w:hint="eastAsia" w:ascii="Times New Roman"/>
          <w:lang w:val="en-US" w:eastAsia="zh-CN"/>
        </w:rPr>
        <w:t>场景的</w:t>
      </w:r>
      <w:r>
        <w:rPr>
          <w:rFonts w:hint="eastAsia" w:ascii="Times New Roman"/>
        </w:rPr>
        <w:t>照护服务，包括</w:t>
      </w:r>
      <w:r>
        <w:rPr>
          <w:rFonts w:hint="eastAsia" w:ascii="Times New Roman"/>
          <w:lang w:val="en-US" w:eastAsia="zh-CN"/>
        </w:rPr>
        <w:t>治疗性护理、</w:t>
      </w:r>
      <w:r>
        <w:rPr>
          <w:rFonts w:hint="eastAsia" w:ascii="Times New Roman"/>
        </w:rPr>
        <w:t>生活照料、安宁疗护等。</w:t>
      </w:r>
    </w:p>
    <w:p w14:paraId="38012B8A">
      <w:pPr>
        <w:pStyle w:val="65"/>
        <w:numPr>
          <w:ilvl w:val="1"/>
          <w:numId w:val="0"/>
        </w:numPr>
        <w:adjustRightInd w:val="0"/>
        <w:snapToGrid w:val="0"/>
        <w:spacing w:before="240" w:after="240" w:line="360" w:lineRule="auto"/>
        <w:jc w:val="left"/>
        <w:rPr>
          <w:rFonts w:hint="eastAsia" w:hAnsi="黑体" w:cs="黑体"/>
          <w:b/>
          <w:bCs/>
          <w:szCs w:val="21"/>
          <w:lang w:val="en-US" w:eastAsia="zh-CN"/>
        </w:rPr>
      </w:pPr>
      <w:bookmarkStart w:id="32" w:name="_Toc13440"/>
      <w:bookmarkStart w:id="33" w:name="_Toc206169286"/>
      <w:bookmarkStart w:id="34" w:name="_Toc206164552"/>
      <w:bookmarkStart w:id="35" w:name="_Toc7310"/>
      <w:r>
        <w:rPr>
          <w:rFonts w:hint="eastAsia" w:hAnsi="黑体" w:cs="黑体"/>
          <w:b/>
          <w:bCs/>
          <w:szCs w:val="21"/>
        </w:rPr>
        <w:t xml:space="preserve">4 </w:t>
      </w:r>
      <w:bookmarkEnd w:id="32"/>
      <w:bookmarkEnd w:id="33"/>
      <w:bookmarkEnd w:id="34"/>
      <w:r>
        <w:rPr>
          <w:rFonts w:hint="eastAsia" w:hAnsi="黑体" w:cs="黑体"/>
          <w:b/>
          <w:bCs/>
          <w:szCs w:val="21"/>
          <w:lang w:val="en-US" w:eastAsia="zh-CN"/>
        </w:rPr>
        <w:t>试点</w:t>
      </w:r>
      <w:bookmarkEnd w:id="35"/>
    </w:p>
    <w:p w14:paraId="4920C6B3">
      <w:pPr>
        <w:pStyle w:val="60"/>
        <w:spacing w:line="360" w:lineRule="auto"/>
        <w:ind w:left="0" w:leftChars="0" w:firstLine="0" w:firstLineChars="0"/>
        <w:rPr>
          <w:rFonts w:hint="eastAsia" w:ascii="黑体" w:hAnsi="黑体" w:eastAsia="黑体" w:cs="黑体"/>
          <w:b/>
          <w:bCs/>
          <w:lang w:val="en-US" w:eastAsia="zh-CN"/>
        </w:rPr>
      </w:pPr>
      <w:r>
        <w:rPr>
          <w:rFonts w:hint="eastAsia" w:ascii="黑体" w:hAnsi="黑体" w:eastAsia="黑体" w:cs="黑体"/>
          <w:b/>
          <w:bCs/>
          <w:lang w:val="en-US" w:eastAsia="zh-CN"/>
        </w:rPr>
        <w:t>4.1 试点的基本要求</w:t>
      </w:r>
    </w:p>
    <w:p w14:paraId="3FA1EEAB">
      <w:pPr>
        <w:pStyle w:val="60"/>
        <w:spacing w:line="360" w:lineRule="auto"/>
        <w:ind w:firstLine="420"/>
        <w:rPr>
          <w:rFonts w:hint="default" w:ascii="Times New Roman"/>
          <w:lang w:val="en-US" w:eastAsia="zh-CN"/>
        </w:rPr>
      </w:pPr>
      <w:r>
        <w:rPr>
          <w:rFonts w:hint="default" w:ascii="Times New Roman"/>
          <w:lang w:val="en-US" w:eastAsia="zh-CN"/>
        </w:rPr>
        <w:t>选择至少</w:t>
      </w:r>
      <w:r>
        <w:rPr>
          <w:rFonts w:hint="eastAsia" w:ascii="Times New Roman"/>
          <w:lang w:val="en-US" w:eastAsia="zh-CN"/>
        </w:rPr>
        <w:t>纳入</w:t>
      </w:r>
      <w:r>
        <w:rPr>
          <w:rFonts w:hint="default" w:ascii="Times New Roman"/>
          <w:lang w:val="en-US" w:eastAsia="zh-CN"/>
        </w:rPr>
        <w:t>1个城市</w:t>
      </w:r>
      <w:r>
        <w:rPr>
          <w:rFonts w:hint="eastAsia" w:ascii="Times New Roman"/>
          <w:lang w:val="en-US" w:eastAsia="zh-CN"/>
        </w:rPr>
        <w:t>地</w:t>
      </w:r>
      <w:r>
        <w:rPr>
          <w:rFonts w:hint="default" w:ascii="Times New Roman"/>
          <w:lang w:val="en-US" w:eastAsia="zh-CN"/>
        </w:rPr>
        <w:t>区</w:t>
      </w:r>
      <w:r>
        <w:rPr>
          <w:rFonts w:hint="eastAsia" w:ascii="Times New Roman"/>
          <w:lang w:val="en-US" w:eastAsia="zh-CN"/>
        </w:rPr>
        <w:t>和</w:t>
      </w:r>
      <w:r>
        <w:rPr>
          <w:rFonts w:hint="default" w:ascii="Times New Roman"/>
          <w:lang w:val="en-US" w:eastAsia="zh-CN"/>
        </w:rPr>
        <w:t>1个农村地区</w:t>
      </w:r>
      <w:r>
        <w:rPr>
          <w:rFonts w:hint="eastAsia" w:ascii="Times New Roman"/>
          <w:lang w:val="en-US" w:eastAsia="zh-CN"/>
        </w:rPr>
        <w:t>作为试点</w:t>
      </w:r>
      <w:r>
        <w:rPr>
          <w:rFonts w:hint="default" w:ascii="Times New Roman"/>
          <w:lang w:val="en-US" w:eastAsia="zh-CN"/>
        </w:rPr>
        <w:t>，优先选择基层医疗机构（社区卫生服务中心、乡镇卫生院）</w:t>
      </w:r>
      <w:r>
        <w:rPr>
          <w:rFonts w:hint="eastAsia" w:ascii="Times New Roman"/>
          <w:lang w:val="en-US" w:eastAsia="zh-CN"/>
        </w:rPr>
        <w:t>试点。</w:t>
      </w:r>
    </w:p>
    <w:p w14:paraId="4F0814CB">
      <w:pPr>
        <w:pStyle w:val="60"/>
        <w:spacing w:line="360" w:lineRule="auto"/>
        <w:ind w:left="0" w:leftChars="0" w:firstLine="0" w:firstLineChars="0"/>
        <w:rPr>
          <w:rFonts w:hint="default" w:ascii="黑体" w:hAnsi="黑体" w:eastAsia="黑体" w:cs="黑体"/>
          <w:b/>
          <w:bCs/>
          <w:lang w:val="en-US" w:eastAsia="zh-CN"/>
        </w:rPr>
      </w:pPr>
      <w:r>
        <w:rPr>
          <w:rFonts w:hint="eastAsia" w:ascii="黑体" w:hAnsi="黑体" w:eastAsia="黑体" w:cs="黑体"/>
          <w:b/>
          <w:bCs/>
          <w:lang w:val="en-US" w:eastAsia="zh-CN"/>
        </w:rPr>
        <w:t>4.2 试点原则</w:t>
      </w:r>
    </w:p>
    <w:p w14:paraId="2FFE07D5">
      <w:pPr>
        <w:pStyle w:val="60"/>
        <w:spacing w:line="360" w:lineRule="auto"/>
        <w:ind w:left="0" w:leftChars="0" w:firstLine="0" w:firstLineChars="0"/>
        <w:rPr>
          <w:rFonts w:hint="default" w:ascii="黑体" w:hAnsi="黑体" w:eastAsia="黑体" w:cs="黑体"/>
          <w:b/>
          <w:bCs/>
          <w:lang w:val="en-US" w:eastAsia="zh-CN"/>
        </w:rPr>
      </w:pPr>
      <w:r>
        <w:rPr>
          <w:rFonts w:hint="eastAsia" w:ascii="黑体" w:hAnsi="黑体" w:eastAsia="黑体" w:cs="黑体"/>
          <w:b/>
          <w:bCs/>
          <w:lang w:val="en-US" w:eastAsia="zh-CN"/>
        </w:rPr>
        <w:t>4.2.1 验证可行性</w:t>
      </w:r>
    </w:p>
    <w:p w14:paraId="3F9052E6">
      <w:pPr>
        <w:pStyle w:val="60"/>
        <w:spacing w:line="360" w:lineRule="auto"/>
        <w:rPr>
          <w:rFonts w:hint="default" w:ascii="Times New Roman"/>
          <w:lang w:val="en-US" w:eastAsia="zh-CN"/>
        </w:rPr>
      </w:pPr>
      <w:r>
        <w:rPr>
          <w:rFonts w:hint="default" w:ascii="Times New Roman"/>
          <w:lang w:val="en-US" w:eastAsia="zh-CN"/>
        </w:rPr>
        <w:t>重点</w:t>
      </w:r>
      <w:r>
        <w:rPr>
          <w:rFonts w:hint="eastAsia" w:ascii="Times New Roman"/>
          <w:lang w:val="en-US" w:eastAsia="zh-CN"/>
        </w:rPr>
        <w:t>工作是</w:t>
      </w:r>
      <w:r>
        <w:rPr>
          <w:rFonts w:hint="default" w:ascii="Times New Roman"/>
          <w:lang w:val="en-US" w:eastAsia="zh-CN"/>
        </w:rPr>
        <w:t>验证服务模式能否被基层接受</w:t>
      </w:r>
      <w:r>
        <w:rPr>
          <w:rFonts w:hint="eastAsia" w:ascii="Times New Roman"/>
          <w:lang w:val="en-US" w:eastAsia="zh-CN"/>
        </w:rPr>
        <w:t>，</w:t>
      </w:r>
      <w:r>
        <w:rPr>
          <w:rFonts w:hint="default" w:ascii="Times New Roman"/>
          <w:lang w:val="en-US" w:eastAsia="zh-CN"/>
        </w:rPr>
        <w:t>患者</w:t>
      </w:r>
      <w:r>
        <w:rPr>
          <w:rFonts w:hint="eastAsia" w:ascii="Times New Roman"/>
          <w:lang w:val="en-US" w:eastAsia="zh-CN"/>
        </w:rPr>
        <w:t>的</w:t>
      </w:r>
      <w:r>
        <w:rPr>
          <w:rFonts w:hint="default" w:ascii="Times New Roman"/>
          <w:lang w:val="en-US" w:eastAsia="zh-CN"/>
        </w:rPr>
        <w:t>参与</w:t>
      </w:r>
      <w:r>
        <w:rPr>
          <w:rFonts w:hint="eastAsia" w:ascii="Times New Roman"/>
          <w:lang w:val="en-US" w:eastAsia="zh-CN"/>
        </w:rPr>
        <w:t>意愿</w:t>
      </w:r>
      <w:r>
        <w:rPr>
          <w:rFonts w:hint="default" w:ascii="Times New Roman"/>
          <w:lang w:val="en-US" w:eastAsia="zh-CN"/>
        </w:rPr>
        <w:t>。</w:t>
      </w:r>
    </w:p>
    <w:p w14:paraId="0E71BE04">
      <w:pPr>
        <w:pStyle w:val="60"/>
        <w:spacing w:line="360" w:lineRule="auto"/>
        <w:ind w:left="0" w:leftChars="0" w:firstLine="0" w:firstLineChars="0"/>
        <w:rPr>
          <w:rFonts w:hint="default" w:ascii="黑体" w:hAnsi="黑体" w:eastAsia="黑体" w:cs="黑体"/>
          <w:b/>
          <w:bCs/>
          <w:lang w:val="en-US" w:eastAsia="zh-CN"/>
        </w:rPr>
      </w:pPr>
      <w:r>
        <w:rPr>
          <w:rFonts w:hint="eastAsia" w:ascii="黑体" w:hAnsi="黑体" w:eastAsia="黑体" w:cs="黑体"/>
          <w:b/>
          <w:bCs/>
          <w:lang w:val="en-US" w:eastAsia="zh-CN"/>
        </w:rPr>
        <w:t>4.2.2 易操作性</w:t>
      </w:r>
    </w:p>
    <w:p w14:paraId="6F398C67">
      <w:pPr>
        <w:pStyle w:val="60"/>
        <w:spacing w:line="360" w:lineRule="auto"/>
        <w:rPr>
          <w:rFonts w:hint="default" w:ascii="Times New Roman"/>
          <w:lang w:val="en-US" w:eastAsia="zh-CN"/>
        </w:rPr>
      </w:pPr>
      <w:r>
        <w:rPr>
          <w:rFonts w:hint="default" w:ascii="Times New Roman"/>
          <w:lang w:val="en-US" w:eastAsia="zh-CN"/>
        </w:rPr>
        <w:t>优先信息系统采集数据，避免人工重复劳动。</w:t>
      </w:r>
    </w:p>
    <w:p w14:paraId="31949D0D">
      <w:pPr>
        <w:pStyle w:val="60"/>
        <w:spacing w:line="360" w:lineRule="auto"/>
        <w:ind w:left="0" w:leftChars="0" w:firstLine="0" w:firstLineChars="0"/>
        <w:rPr>
          <w:rFonts w:hint="default" w:ascii="黑体" w:hAnsi="黑体" w:eastAsia="黑体" w:cs="黑体"/>
          <w:b/>
          <w:bCs/>
          <w:lang w:val="en-US" w:eastAsia="zh-CN"/>
        </w:rPr>
      </w:pPr>
      <w:r>
        <w:rPr>
          <w:rFonts w:hint="eastAsia" w:ascii="黑体" w:hAnsi="黑体" w:eastAsia="黑体" w:cs="黑体"/>
          <w:b/>
          <w:bCs/>
          <w:lang w:val="en-US" w:eastAsia="zh-CN"/>
        </w:rPr>
        <w:t xml:space="preserve">4.2.3 </w:t>
      </w:r>
      <w:r>
        <w:rPr>
          <w:rFonts w:hint="default" w:ascii="黑体" w:hAnsi="黑体" w:eastAsia="黑体" w:cs="黑体"/>
          <w:b/>
          <w:bCs/>
          <w:lang w:val="en-US" w:eastAsia="zh-CN"/>
        </w:rPr>
        <w:t>政策衔接</w:t>
      </w:r>
      <w:r>
        <w:rPr>
          <w:rFonts w:hint="eastAsia" w:ascii="黑体" w:hAnsi="黑体" w:eastAsia="黑体" w:cs="黑体"/>
          <w:b/>
          <w:bCs/>
          <w:lang w:val="en-US" w:eastAsia="zh-CN"/>
        </w:rPr>
        <w:t>程度</w:t>
      </w:r>
    </w:p>
    <w:p w14:paraId="49732D56">
      <w:pPr>
        <w:pStyle w:val="60"/>
        <w:spacing w:line="360" w:lineRule="auto"/>
        <w:rPr>
          <w:rFonts w:hint="default" w:ascii="Times New Roman"/>
          <w:lang w:val="en-US" w:eastAsia="zh-CN"/>
        </w:rPr>
      </w:pPr>
      <w:r>
        <w:rPr>
          <w:rFonts w:hint="default" w:ascii="Times New Roman"/>
          <w:lang w:val="en-US" w:eastAsia="zh-CN"/>
        </w:rPr>
        <w:t>确保试点模式符合现有卫生政策，</w:t>
      </w:r>
      <w:r>
        <w:rPr>
          <w:rFonts w:hint="eastAsia" w:ascii="Times New Roman"/>
          <w:lang w:val="en-US" w:eastAsia="zh-CN"/>
        </w:rPr>
        <w:t>减少</w:t>
      </w:r>
      <w:r>
        <w:rPr>
          <w:rFonts w:hint="default" w:ascii="Times New Roman"/>
          <w:lang w:val="en-US" w:eastAsia="zh-CN"/>
        </w:rPr>
        <w:t>后续推广障碍。</w:t>
      </w:r>
    </w:p>
    <w:p w14:paraId="6C4A2C45">
      <w:pPr>
        <w:pStyle w:val="60"/>
        <w:spacing w:line="360" w:lineRule="auto"/>
        <w:ind w:left="0" w:leftChars="0" w:firstLine="0" w:firstLineChars="0"/>
        <w:rPr>
          <w:rFonts w:hint="default" w:ascii="黑体" w:hAnsi="黑体" w:eastAsia="黑体" w:cs="黑体"/>
          <w:b/>
          <w:bCs/>
          <w:lang w:val="en-US" w:eastAsia="zh-CN"/>
        </w:rPr>
      </w:pPr>
      <w:r>
        <w:rPr>
          <w:rFonts w:hint="eastAsia" w:ascii="黑体" w:hAnsi="黑体" w:eastAsia="黑体" w:cs="黑体"/>
          <w:b/>
          <w:bCs/>
          <w:lang w:val="en-US" w:eastAsia="zh-CN"/>
        </w:rPr>
        <w:t xml:space="preserve">4.2.4 </w:t>
      </w:r>
      <w:r>
        <w:rPr>
          <w:rFonts w:hint="default" w:ascii="黑体" w:hAnsi="黑体" w:eastAsia="黑体" w:cs="黑体"/>
          <w:b/>
          <w:bCs/>
          <w:lang w:val="en-US" w:eastAsia="zh-CN"/>
        </w:rPr>
        <w:t>数据</w:t>
      </w:r>
      <w:r>
        <w:rPr>
          <w:rFonts w:hint="eastAsia" w:ascii="黑体" w:hAnsi="黑体" w:eastAsia="黑体" w:cs="黑体"/>
          <w:b/>
          <w:bCs/>
          <w:lang w:val="en-US" w:eastAsia="zh-CN"/>
        </w:rPr>
        <w:t>真实性</w:t>
      </w:r>
    </w:p>
    <w:p w14:paraId="4E524CDC">
      <w:pPr>
        <w:pStyle w:val="60"/>
        <w:spacing w:line="360" w:lineRule="auto"/>
        <w:rPr>
          <w:rFonts w:hint="default" w:ascii="Times New Roman"/>
          <w:lang w:val="en-US" w:eastAsia="zh-CN"/>
        </w:rPr>
      </w:pPr>
      <w:r>
        <w:rPr>
          <w:rFonts w:hint="default" w:ascii="Times New Roman"/>
          <w:lang w:val="en-US" w:eastAsia="zh-CN"/>
        </w:rPr>
        <w:t>记录</w:t>
      </w:r>
      <w:r>
        <w:rPr>
          <w:rFonts w:hint="eastAsia" w:ascii="Times New Roman"/>
          <w:lang w:val="en-US" w:eastAsia="zh-CN"/>
        </w:rPr>
        <w:t>和反馈试点</w:t>
      </w:r>
      <w:r>
        <w:rPr>
          <w:rFonts w:hint="default" w:ascii="Times New Roman"/>
          <w:lang w:val="en-US" w:eastAsia="zh-CN"/>
        </w:rPr>
        <w:t>推广中的问题。</w:t>
      </w:r>
    </w:p>
    <w:p w14:paraId="709F7389">
      <w:pPr>
        <w:pStyle w:val="60"/>
        <w:spacing w:line="360" w:lineRule="auto"/>
        <w:ind w:left="0" w:leftChars="0" w:firstLine="0" w:firstLineChars="0"/>
        <w:rPr>
          <w:rFonts w:hint="default" w:ascii="黑体" w:hAnsi="黑体" w:eastAsia="黑体" w:cs="黑体"/>
          <w:b/>
          <w:bCs/>
          <w:lang w:val="en-US" w:eastAsia="zh-CN"/>
        </w:rPr>
      </w:pPr>
      <w:r>
        <w:rPr>
          <w:rFonts w:hint="eastAsia" w:ascii="黑体" w:hAnsi="黑体" w:eastAsia="黑体" w:cs="黑体"/>
          <w:b/>
          <w:bCs/>
          <w:lang w:val="en-US" w:eastAsia="zh-CN"/>
        </w:rPr>
        <w:t>4.3 试点方法</w:t>
      </w:r>
    </w:p>
    <w:p w14:paraId="72BCD792">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4.3.1 试点前准备</w:t>
      </w:r>
    </w:p>
    <w:p w14:paraId="2DCBB01C">
      <w:pPr>
        <w:pStyle w:val="60"/>
        <w:spacing w:line="360" w:lineRule="auto"/>
        <w:rPr>
          <w:rFonts w:hint="eastAsia" w:ascii="Times New Roman"/>
          <w:lang w:val="en-US" w:eastAsia="zh-CN"/>
        </w:rPr>
      </w:pPr>
      <w:r>
        <w:rPr>
          <w:rFonts w:hint="eastAsia" w:ascii="Times New Roman"/>
          <w:lang w:val="en-US" w:eastAsia="zh-CN"/>
        </w:rPr>
        <w:t>与试点机构负责人、医护人员座谈，了解现有慢病管理痛点；抽样访谈目标患者，评估接受度。</w:t>
      </w:r>
    </w:p>
    <w:p w14:paraId="6C3645CA">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明确服务内容，设计简易执行手册，指定推广方案。</w:t>
      </w:r>
    </w:p>
    <w:p w14:paraId="69E773CC">
      <w:pPr>
        <w:pStyle w:val="60"/>
        <w:spacing w:line="360" w:lineRule="auto"/>
        <w:ind w:left="422" w:leftChars="0" w:hanging="422" w:hangingChars="200"/>
        <w:rPr>
          <w:rFonts w:hint="default" w:ascii="黑体" w:hAnsi="黑体" w:eastAsia="黑体" w:cs="黑体"/>
          <w:b/>
          <w:bCs/>
          <w:lang w:val="en-US" w:eastAsia="zh-CN"/>
        </w:rPr>
      </w:pPr>
      <w:r>
        <w:rPr>
          <w:rFonts w:hint="eastAsia" w:ascii="黑体" w:hAnsi="黑体" w:eastAsia="黑体" w:cs="黑体"/>
          <w:b/>
          <w:bCs/>
          <w:lang w:val="en-US" w:eastAsia="zh-CN"/>
        </w:rPr>
        <w:t>4.3.2 试点报告与效果评估</w:t>
      </w:r>
    </w:p>
    <w:p w14:paraId="518E01B5">
      <w:pPr>
        <w:pStyle w:val="60"/>
        <w:spacing w:line="360" w:lineRule="auto"/>
        <w:rPr>
          <w:rFonts w:hint="default" w:ascii="Times New Roman"/>
          <w:lang w:val="en-US" w:eastAsia="zh-CN"/>
        </w:rPr>
      </w:pPr>
      <w:r>
        <w:rPr>
          <w:rFonts w:hint="eastAsia" w:ascii="Times New Roman"/>
          <w:lang w:val="en-US" w:eastAsia="zh-CN"/>
        </w:rPr>
        <w:t>建立问题日志，明确该模式是否具备推广条件；提出优化建议。试点结束后，应参照本标准第10部分要求接受成效评估。</w:t>
      </w:r>
    </w:p>
    <w:p w14:paraId="593105DB">
      <w:pPr>
        <w:pStyle w:val="65"/>
        <w:numPr>
          <w:ilvl w:val="1"/>
          <w:numId w:val="0"/>
        </w:numPr>
        <w:adjustRightInd w:val="0"/>
        <w:snapToGrid w:val="0"/>
        <w:spacing w:before="240" w:after="240" w:line="360" w:lineRule="auto"/>
        <w:jc w:val="left"/>
        <w:rPr>
          <w:rFonts w:hint="eastAsia" w:hAnsi="黑体" w:cs="黑体"/>
          <w:b/>
          <w:bCs/>
          <w:szCs w:val="21"/>
          <w:lang w:val="en-US" w:eastAsia="zh-CN"/>
        </w:rPr>
      </w:pPr>
      <w:bookmarkStart w:id="36" w:name="_Toc206169288"/>
      <w:bookmarkStart w:id="37" w:name="_Toc206164554"/>
      <w:bookmarkStart w:id="38" w:name="_Toc16094"/>
      <w:bookmarkStart w:id="39" w:name="_Toc16381"/>
      <w:r>
        <w:rPr>
          <w:rFonts w:hint="eastAsia" w:hAnsi="黑体" w:cs="黑体"/>
          <w:b/>
          <w:bCs/>
          <w:szCs w:val="21"/>
        </w:rPr>
        <w:t xml:space="preserve">5 </w:t>
      </w:r>
      <w:bookmarkEnd w:id="36"/>
      <w:bookmarkEnd w:id="37"/>
      <w:bookmarkEnd w:id="38"/>
      <w:r>
        <w:rPr>
          <w:rFonts w:hint="eastAsia" w:hAnsi="黑体" w:cs="黑体"/>
          <w:b/>
          <w:bCs/>
          <w:szCs w:val="21"/>
          <w:lang w:val="en-US" w:eastAsia="zh-CN"/>
        </w:rPr>
        <w:t>示范</w:t>
      </w:r>
      <w:bookmarkEnd w:id="39"/>
    </w:p>
    <w:p w14:paraId="461D3204">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5.1 示范启动条件</w:t>
      </w:r>
    </w:p>
    <w:p w14:paraId="22770A9E">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5.1.1 模式基本成熟</w:t>
      </w:r>
    </w:p>
    <w:p w14:paraId="4BF24DB4">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形成了标准化的服务流程、技术规范与配套材料。</w:t>
      </w:r>
    </w:p>
    <w:p w14:paraId="273DCB81">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5.1.2 资源保障到位</w:t>
      </w:r>
    </w:p>
    <w:p w14:paraId="480FDAE8">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明确示范阶段所需的人员、设备、经费及信息平台等。</w:t>
      </w:r>
    </w:p>
    <w:p w14:paraId="76620F07">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5.1.4 政策环境支持</w:t>
      </w:r>
    </w:p>
    <w:p w14:paraId="1647A94A">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示范内容与当地卫生政策、医保支付等制度框架相契合。</w:t>
      </w:r>
    </w:p>
    <w:p w14:paraId="7EAB8602">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5.2 示范点选址要求</w:t>
      </w:r>
    </w:p>
    <w:p w14:paraId="21B67316">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5.2.1 区域代表性</w:t>
      </w:r>
    </w:p>
    <w:p w14:paraId="0924FB52">
      <w:pPr>
        <w:pStyle w:val="60"/>
        <w:spacing w:line="360" w:lineRule="auto"/>
        <w:rPr>
          <w:rFonts w:hint="eastAsia" w:ascii="Times New Roman"/>
          <w:lang w:val="en-US" w:eastAsia="zh-CN"/>
        </w:rPr>
      </w:pPr>
      <w:r>
        <w:rPr>
          <w:rFonts w:hint="eastAsia" w:ascii="Times New Roman"/>
          <w:lang w:val="en-US" w:eastAsia="zh-CN"/>
        </w:rPr>
        <w:t>应覆盖不同经济社会发展水平、城乡类型及典型流行病学特征的区域，以验证模式的适用性。</w:t>
      </w:r>
    </w:p>
    <w:p w14:paraId="618F8C48">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5.2.2 机构基础</w:t>
      </w:r>
    </w:p>
    <w:p w14:paraId="2EDA9673">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优先选择团队执行力强、信息化基础较好的医疗卫生机构作为示范单位。</w:t>
      </w:r>
    </w:p>
    <w:p w14:paraId="53D0DF05">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5.2.3 协同网络</w:t>
      </w:r>
    </w:p>
    <w:p w14:paraId="110BEB2C">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示范区域宜具备较完善的医联体/医共体架构或稳定的机构间协作机制，能够支撑“防、筛、管、治、康、护”全链条服务的衔接与转诊。</w:t>
      </w:r>
    </w:p>
    <w:p w14:paraId="04C868FB">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5.3 示范实施规模</w:t>
      </w:r>
    </w:p>
    <w:p w14:paraId="1BA88B2F">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5.3.1 人群覆盖</w:t>
      </w:r>
    </w:p>
    <w:p w14:paraId="68B66034">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单个示范项目管理的目标慢病患者或高危人群总规模建议不少于800人。</w:t>
      </w:r>
    </w:p>
    <w:p w14:paraId="01513653">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5.3.2 机构参与</w:t>
      </w:r>
    </w:p>
    <w:p w14:paraId="1C197DF9">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参与示范的各类医疗卫生机构可组成示范单位，包含至少1家二级及以上医院、1家基层医疗卫生机构，以构建完整的服务链。</w:t>
      </w:r>
    </w:p>
    <w:p w14:paraId="53F8CAB8">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5.4 示范核心任务</w:t>
      </w:r>
    </w:p>
    <w:p w14:paraId="290C366F">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5.4.1 模式标准化展示</w:t>
      </w:r>
    </w:p>
    <w:p w14:paraId="237ACB0F">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按照优化后的标准流程开展服务，形成可在区域内参观、学习和考察的标准化操作现场。</w:t>
      </w:r>
    </w:p>
    <w:p w14:paraId="022A6793">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5.4.2 数据收集与效果论证</w:t>
      </w:r>
    </w:p>
    <w:p w14:paraId="1C3236E0">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具备收集更大规模、更长周期的人群健康数据与服务过程数据的潜力，为论证服务模式的健康效益、经济效益与社会效益提供科学依据。</w:t>
      </w:r>
    </w:p>
    <w:p w14:paraId="1D6B83B6">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5.4.3 问题发现与优化</w:t>
      </w:r>
    </w:p>
    <w:p w14:paraId="29205A0E">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发现在试点中未暴露的问题，推动模式持续优化。</w:t>
      </w:r>
    </w:p>
    <w:p w14:paraId="5321B38B">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5.5 示范周期与管理</w:t>
      </w:r>
    </w:p>
    <w:p w14:paraId="5BE70566">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5.5.1 周期</w:t>
      </w:r>
    </w:p>
    <w:p w14:paraId="3DA22074">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示范周期应不少于12个月。</w:t>
      </w:r>
    </w:p>
    <w:p w14:paraId="07110CD8">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5.5.2 过程管理</w:t>
      </w:r>
    </w:p>
    <w:p w14:paraId="18977B5E">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定期开展现场督导与同行交流，动态监控实施质量。</w:t>
      </w:r>
    </w:p>
    <w:p w14:paraId="29B095AB">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5.5.3 评估与认证</w:t>
      </w:r>
    </w:p>
    <w:p w14:paraId="06265A1D">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示范期结束后，应参照第10部分要求接受成效评估。通过评估的示范点，可由标准发布单位授予“标准化示范单位”称号。</w:t>
      </w:r>
    </w:p>
    <w:p w14:paraId="47D7CB1E">
      <w:pPr>
        <w:pStyle w:val="65"/>
        <w:numPr>
          <w:ilvl w:val="1"/>
          <w:numId w:val="0"/>
        </w:numPr>
        <w:adjustRightInd w:val="0"/>
        <w:snapToGrid w:val="0"/>
        <w:spacing w:before="240" w:after="240" w:line="360" w:lineRule="auto"/>
        <w:jc w:val="left"/>
        <w:rPr>
          <w:rFonts w:hint="eastAsia" w:hAnsi="黑体" w:cs="黑体"/>
          <w:b/>
          <w:bCs/>
          <w:szCs w:val="21"/>
        </w:rPr>
      </w:pPr>
      <w:bookmarkStart w:id="40" w:name="_Toc206169289"/>
      <w:bookmarkStart w:id="41" w:name="_Toc1753"/>
      <w:bookmarkStart w:id="42" w:name="_Toc206164555"/>
      <w:bookmarkStart w:id="43" w:name="_Toc31808"/>
      <w:r>
        <w:rPr>
          <w:rFonts w:hint="eastAsia" w:hAnsi="黑体" w:cs="黑体"/>
          <w:b/>
          <w:bCs/>
          <w:szCs w:val="21"/>
        </w:rPr>
        <w:t xml:space="preserve">6 </w:t>
      </w:r>
      <w:bookmarkEnd w:id="40"/>
      <w:bookmarkEnd w:id="41"/>
      <w:bookmarkEnd w:id="42"/>
      <w:r>
        <w:rPr>
          <w:rFonts w:hint="eastAsia" w:hAnsi="黑体" w:cs="黑体"/>
          <w:b/>
          <w:bCs/>
          <w:szCs w:val="21"/>
        </w:rPr>
        <w:t>推广内容</w:t>
      </w:r>
      <w:bookmarkEnd w:id="43"/>
    </w:p>
    <w:p w14:paraId="1672C2CD">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6.1 核心服务技术</w:t>
      </w:r>
    </w:p>
    <w:p w14:paraId="23CA0643">
      <w:pPr>
        <w:pStyle w:val="60"/>
        <w:spacing w:line="360" w:lineRule="auto"/>
        <w:ind w:firstLine="420"/>
        <w:rPr>
          <w:rFonts w:hint="eastAsia" w:ascii="Times New Roman"/>
          <w:lang w:val="en-US" w:eastAsia="zh-CN"/>
        </w:rPr>
      </w:pPr>
      <w:r>
        <w:rPr>
          <w:rFonts w:hint="eastAsia" w:ascii="Times New Roman"/>
          <w:lang w:val="en-US" w:eastAsia="zh-CN"/>
        </w:rPr>
        <w:t>重大慢病“防、筛、管、治、康、护”服务技术推广，应以循证医学和现行政策为依据，在不替代现行诊疗规范和管理制度的前提下，对相关服务技术进行规范化整理和推广应用。各地区可结合自身资源条件和服务基础，选择性实施其中符合本地区条件的1-2种重大慢病开展服务。</w:t>
      </w:r>
    </w:p>
    <w:p w14:paraId="656CA211">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6.1.1 预防服务技术</w:t>
      </w:r>
    </w:p>
    <w:p w14:paraId="0F3240D9">
      <w:pPr>
        <w:pStyle w:val="60"/>
        <w:spacing w:line="360" w:lineRule="auto"/>
        <w:ind w:left="420" w:leftChars="200" w:firstLine="0" w:firstLineChars="0"/>
        <w:rPr>
          <w:rFonts w:hint="eastAsia" w:ascii="Times New Roman"/>
          <w:lang w:val="en-US" w:eastAsia="zh-CN"/>
        </w:rPr>
      </w:pPr>
      <w:r>
        <w:rPr>
          <w:rFonts w:hint="eastAsia" w:ascii="Times New Roman"/>
          <w:lang w:val="en-US" w:eastAsia="zh-CN"/>
        </w:rPr>
        <w:t>预防服务技术主要面向一般人群和慢病高危人群，重点控制可改变危险因素。包括但不限于：</w:t>
      </w:r>
    </w:p>
    <w:p w14:paraId="5CBAEAF4">
      <w:pPr>
        <w:pStyle w:val="60"/>
        <w:spacing w:line="360" w:lineRule="auto"/>
        <w:ind w:left="420" w:leftChars="200" w:firstLine="0" w:firstLineChars="0"/>
        <w:rPr>
          <w:rFonts w:hint="eastAsia" w:ascii="Times New Roman"/>
          <w:lang w:val="en-US" w:eastAsia="zh-CN"/>
        </w:rPr>
      </w:pPr>
      <w:r>
        <w:rPr>
          <w:rFonts w:hint="eastAsia" w:ascii="Times New Roman"/>
          <w:lang w:val="en-US" w:eastAsia="zh-CN"/>
        </w:rPr>
        <w:t>a) 基于社区或基层医疗卫生机构开展的健康教育与健康促进技术，如控烟限酒、合理膳食、体力活动促进等干预措施；</w:t>
      </w:r>
    </w:p>
    <w:p w14:paraId="67C0D2D2">
      <w:pPr>
        <w:pStyle w:val="60"/>
        <w:spacing w:line="360" w:lineRule="auto"/>
        <w:ind w:left="420" w:leftChars="200" w:firstLine="0" w:firstLineChars="0"/>
        <w:rPr>
          <w:rFonts w:hint="eastAsia" w:ascii="Times New Roman"/>
          <w:lang w:val="en-US" w:eastAsia="zh-CN"/>
        </w:rPr>
      </w:pPr>
      <w:r>
        <w:rPr>
          <w:rFonts w:hint="eastAsia" w:ascii="Times New Roman"/>
          <w:lang w:val="en-US" w:eastAsia="zh-CN"/>
        </w:rPr>
        <w:t>b) 面向个体和人群的慢病风险评估与分层技术，采用标准化工具识别高风险个体；</w:t>
      </w:r>
    </w:p>
    <w:p w14:paraId="75E789E8">
      <w:pPr>
        <w:pStyle w:val="60"/>
        <w:spacing w:line="360" w:lineRule="auto"/>
        <w:ind w:left="420" w:leftChars="200" w:firstLine="0" w:firstLineChars="0"/>
        <w:rPr>
          <w:rFonts w:hint="eastAsia" w:ascii="Times New Roman"/>
          <w:lang w:val="en-US" w:eastAsia="zh-CN"/>
        </w:rPr>
      </w:pPr>
      <w:r>
        <w:rPr>
          <w:rFonts w:hint="eastAsia" w:ascii="Times New Roman"/>
          <w:lang w:val="en-US" w:eastAsia="zh-CN"/>
        </w:rPr>
        <w:t>c) 针对不同风险等级人群制定的干预建议。</w:t>
      </w:r>
    </w:p>
    <w:p w14:paraId="2A492C49">
      <w:pPr>
        <w:pStyle w:val="60"/>
        <w:spacing w:line="360" w:lineRule="auto"/>
        <w:ind w:left="0" w:leftChars="0" w:firstLine="0" w:firstLineChars="0"/>
        <w:rPr>
          <w:rFonts w:hint="eastAsia" w:ascii="黑体" w:hAnsi="黑体" w:eastAsia="黑体" w:cs="黑体"/>
          <w:b/>
          <w:bCs/>
          <w:lang w:val="en-US" w:eastAsia="zh-CN"/>
        </w:rPr>
      </w:pPr>
      <w:r>
        <w:rPr>
          <w:rFonts w:hint="eastAsia" w:ascii="黑体" w:hAnsi="黑体" w:eastAsia="黑体" w:cs="黑体"/>
          <w:b/>
          <w:bCs/>
          <w:lang w:val="en-US" w:eastAsia="zh-CN"/>
        </w:rPr>
        <w:t>6.1.2 筛查服务技术</w:t>
      </w:r>
    </w:p>
    <w:p w14:paraId="59AAFF69">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筛查服务技术用于对重点慢病及其高危状态进行早期识别，主要包括：</w:t>
      </w:r>
    </w:p>
    <w:p w14:paraId="47A4C6B1">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a) 适用于基层实施的高血压、糖尿病及重点癌症筛查技术方案；</w:t>
      </w:r>
    </w:p>
    <w:p w14:paraId="50E65A82">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b) 明确筛查对象、筛查频次、操作流程及质量控制要求；</w:t>
      </w:r>
    </w:p>
    <w:p w14:paraId="683A277B">
      <w:pPr>
        <w:pStyle w:val="60"/>
        <w:spacing w:line="360" w:lineRule="auto"/>
        <w:ind w:left="0" w:leftChars="0" w:firstLine="420" w:firstLineChars="200"/>
        <w:rPr>
          <w:rFonts w:hint="eastAsia" w:ascii="Times New Roman"/>
          <w:lang w:val="en-US" w:eastAsia="zh-CN"/>
        </w:rPr>
      </w:pPr>
      <w:r>
        <w:rPr>
          <w:rFonts w:hint="eastAsia" w:ascii="Times New Roman"/>
          <w:lang w:val="en-US" w:eastAsia="zh-CN"/>
        </w:rPr>
        <w:t>c) 筛查结果判定标准及转诊要求。</w:t>
      </w:r>
    </w:p>
    <w:p w14:paraId="4B04B26E">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6.1.3 管理服务技术</w:t>
      </w:r>
    </w:p>
    <w:p w14:paraId="656F9E47">
      <w:pPr>
        <w:pStyle w:val="60"/>
        <w:spacing w:line="360" w:lineRule="auto"/>
        <w:ind w:firstLine="420"/>
        <w:rPr>
          <w:rFonts w:hint="eastAsia" w:ascii="Times New Roman"/>
          <w:lang w:val="en-US" w:eastAsia="zh-CN"/>
        </w:rPr>
      </w:pPr>
      <w:r>
        <w:rPr>
          <w:rFonts w:hint="eastAsia" w:ascii="Times New Roman"/>
          <w:lang w:val="en-US" w:eastAsia="zh-CN"/>
        </w:rPr>
        <w:t>管理服务技术面向高危人群和确诊患者，强调连续性和规范性，包括：</w:t>
      </w:r>
    </w:p>
    <w:p w14:paraId="2EB54AE1">
      <w:pPr>
        <w:pStyle w:val="60"/>
        <w:spacing w:line="360" w:lineRule="auto"/>
        <w:ind w:firstLine="420"/>
        <w:rPr>
          <w:rFonts w:hint="eastAsia" w:ascii="Times New Roman"/>
          <w:lang w:val="en-US" w:eastAsia="zh-CN"/>
        </w:rPr>
      </w:pPr>
      <w:r>
        <w:rPr>
          <w:rFonts w:hint="eastAsia" w:ascii="Times New Roman"/>
          <w:lang w:val="en-US" w:eastAsia="zh-CN"/>
        </w:rPr>
        <w:t>a) 基于疾病分期或风险等级的分级管理技术；</w:t>
      </w:r>
    </w:p>
    <w:p w14:paraId="2A7BE2A1">
      <w:pPr>
        <w:pStyle w:val="60"/>
        <w:spacing w:line="360" w:lineRule="auto"/>
        <w:ind w:firstLine="420"/>
        <w:rPr>
          <w:rFonts w:hint="eastAsia" w:ascii="Times New Roman"/>
          <w:lang w:val="en-US" w:eastAsia="zh-CN"/>
        </w:rPr>
      </w:pPr>
      <w:r>
        <w:rPr>
          <w:rFonts w:hint="eastAsia" w:ascii="Times New Roman"/>
          <w:lang w:val="en-US" w:eastAsia="zh-CN"/>
        </w:rPr>
        <w:t>b) 标准化随访内容、随访频次及记录方式；</w:t>
      </w:r>
    </w:p>
    <w:p w14:paraId="5D33A97A">
      <w:pPr>
        <w:pStyle w:val="60"/>
        <w:spacing w:line="360" w:lineRule="auto"/>
        <w:ind w:firstLine="420"/>
        <w:rPr>
          <w:rFonts w:hint="eastAsia" w:ascii="Times New Roman"/>
          <w:lang w:val="en-US" w:eastAsia="zh-CN"/>
        </w:rPr>
      </w:pPr>
      <w:r>
        <w:rPr>
          <w:rFonts w:hint="eastAsia" w:ascii="Times New Roman"/>
          <w:lang w:val="en-US" w:eastAsia="zh-CN"/>
        </w:rPr>
        <w:t>c) 用药指导、自我管理支持及行为干预技术；</w:t>
      </w:r>
    </w:p>
    <w:p w14:paraId="0D828309">
      <w:pPr>
        <w:pStyle w:val="60"/>
        <w:spacing w:line="360" w:lineRule="auto"/>
        <w:ind w:firstLine="420"/>
        <w:rPr>
          <w:rFonts w:hint="eastAsia" w:ascii="Times New Roman"/>
          <w:lang w:val="en-US" w:eastAsia="zh-CN"/>
        </w:rPr>
      </w:pPr>
      <w:r>
        <w:rPr>
          <w:rFonts w:hint="eastAsia" w:ascii="Times New Roman"/>
          <w:lang w:val="en-US" w:eastAsia="zh-CN"/>
        </w:rPr>
        <w:t>d) 管理过程中与上级医疗机构的协作与转诊衔接、复查和随访机制。</w:t>
      </w:r>
    </w:p>
    <w:p w14:paraId="24D4C0E8">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6.1.4 治疗服务技术</w:t>
      </w:r>
    </w:p>
    <w:p w14:paraId="11E68059">
      <w:pPr>
        <w:pStyle w:val="60"/>
        <w:spacing w:line="360" w:lineRule="auto"/>
        <w:ind w:firstLine="420"/>
        <w:rPr>
          <w:rFonts w:hint="eastAsia" w:ascii="Times New Roman"/>
          <w:lang w:val="en-US" w:eastAsia="zh-CN"/>
        </w:rPr>
      </w:pPr>
      <w:r>
        <w:rPr>
          <w:rFonts w:hint="eastAsia" w:ascii="Times New Roman"/>
          <w:lang w:val="en-US" w:eastAsia="zh-CN"/>
        </w:rPr>
        <w:t>治疗服务技术应符合国家和行业相关临床指南要求，主要包括：</w:t>
      </w:r>
    </w:p>
    <w:p w14:paraId="5CA8479A">
      <w:pPr>
        <w:pStyle w:val="60"/>
        <w:spacing w:line="360" w:lineRule="auto"/>
        <w:ind w:firstLine="420"/>
        <w:rPr>
          <w:rFonts w:hint="eastAsia" w:ascii="Times New Roman"/>
          <w:lang w:val="en-US" w:eastAsia="zh-CN"/>
        </w:rPr>
      </w:pPr>
      <w:r>
        <w:rPr>
          <w:rFonts w:hint="eastAsia" w:ascii="Times New Roman"/>
          <w:lang w:val="en-US" w:eastAsia="zh-CN"/>
        </w:rPr>
        <w:t>a) 基层医疗卫生机构可开展的适宜诊疗技术；</w:t>
      </w:r>
    </w:p>
    <w:p w14:paraId="39485E57">
      <w:pPr>
        <w:pStyle w:val="60"/>
        <w:spacing w:line="360" w:lineRule="auto"/>
        <w:ind w:firstLine="420"/>
        <w:rPr>
          <w:rFonts w:hint="eastAsia" w:ascii="Times New Roman"/>
          <w:lang w:val="en-US" w:eastAsia="zh-CN"/>
        </w:rPr>
      </w:pPr>
      <w:r>
        <w:rPr>
          <w:rFonts w:hint="eastAsia" w:ascii="Times New Roman"/>
          <w:lang w:val="en-US" w:eastAsia="zh-CN"/>
        </w:rPr>
        <w:t>b) 中西医结合诊疗方案的规范应用；</w:t>
      </w:r>
    </w:p>
    <w:p w14:paraId="35BF2C4F">
      <w:pPr>
        <w:pStyle w:val="60"/>
        <w:spacing w:line="360" w:lineRule="auto"/>
        <w:ind w:firstLine="420"/>
        <w:rPr>
          <w:rFonts w:hint="eastAsia" w:ascii="Times New Roman"/>
          <w:lang w:val="en-US" w:eastAsia="zh-CN"/>
        </w:rPr>
      </w:pPr>
      <w:r>
        <w:rPr>
          <w:rFonts w:hint="eastAsia" w:ascii="Times New Roman"/>
          <w:lang w:val="en-US" w:eastAsia="zh-CN"/>
        </w:rPr>
        <w:t>c) 明确疑难或复杂病例的转诊条件、流程及信息反馈要求。</w:t>
      </w:r>
    </w:p>
    <w:p w14:paraId="75D9D17A">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6.1.5 康复服务技术</w:t>
      </w:r>
    </w:p>
    <w:p w14:paraId="2647C995">
      <w:pPr>
        <w:pStyle w:val="60"/>
        <w:spacing w:line="360" w:lineRule="auto"/>
        <w:ind w:firstLine="420"/>
        <w:rPr>
          <w:rFonts w:hint="eastAsia" w:ascii="Times New Roman"/>
          <w:lang w:val="en-US" w:eastAsia="zh-CN"/>
        </w:rPr>
      </w:pPr>
      <w:r>
        <w:rPr>
          <w:rFonts w:hint="eastAsia" w:ascii="Times New Roman"/>
          <w:lang w:val="en-US" w:eastAsia="zh-CN"/>
        </w:rPr>
        <w:t>康复服务技术面向疾病稳定期或功能受限人群，主要包括：</w:t>
      </w:r>
    </w:p>
    <w:p w14:paraId="6476DB1E">
      <w:pPr>
        <w:pStyle w:val="60"/>
        <w:spacing w:line="360" w:lineRule="auto"/>
        <w:ind w:firstLine="420"/>
        <w:rPr>
          <w:rFonts w:hint="eastAsia" w:ascii="Times New Roman"/>
          <w:lang w:val="en-US" w:eastAsia="zh-CN"/>
        </w:rPr>
      </w:pPr>
      <w:r>
        <w:rPr>
          <w:rFonts w:hint="eastAsia" w:ascii="Times New Roman"/>
          <w:lang w:val="en-US" w:eastAsia="zh-CN"/>
        </w:rPr>
        <w:t>a) 功能状态评估与康复需求评估技术；</w:t>
      </w:r>
    </w:p>
    <w:p w14:paraId="6A180E9C">
      <w:pPr>
        <w:pStyle w:val="60"/>
        <w:spacing w:line="360" w:lineRule="auto"/>
        <w:ind w:firstLine="420"/>
        <w:rPr>
          <w:rFonts w:hint="eastAsia" w:ascii="Times New Roman"/>
          <w:lang w:val="en-US" w:eastAsia="zh-CN"/>
        </w:rPr>
      </w:pPr>
      <w:r>
        <w:rPr>
          <w:rFonts w:hint="eastAsia" w:ascii="Times New Roman"/>
          <w:lang w:val="en-US" w:eastAsia="zh-CN"/>
        </w:rPr>
        <w:t>b) 适合社区及居家场景的康复服务方案；</w:t>
      </w:r>
    </w:p>
    <w:p w14:paraId="3BE149BF">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6.1.6 护理与照护服务技术</w:t>
      </w:r>
    </w:p>
    <w:p w14:paraId="4B65186A">
      <w:pPr>
        <w:pStyle w:val="60"/>
        <w:spacing w:line="360" w:lineRule="auto"/>
        <w:ind w:firstLine="420"/>
        <w:rPr>
          <w:rFonts w:hint="eastAsia" w:ascii="Times New Roman"/>
          <w:lang w:val="en-US" w:eastAsia="zh-CN"/>
        </w:rPr>
      </w:pPr>
      <w:r>
        <w:rPr>
          <w:rFonts w:hint="eastAsia" w:ascii="Times New Roman"/>
          <w:lang w:val="en-US" w:eastAsia="zh-CN"/>
        </w:rPr>
        <w:t>护理与照护服务技术主要面向失能或半失能患者，包括：</w:t>
      </w:r>
    </w:p>
    <w:p w14:paraId="57B099BC">
      <w:pPr>
        <w:pStyle w:val="60"/>
        <w:spacing w:line="360" w:lineRule="auto"/>
        <w:ind w:firstLine="420"/>
        <w:rPr>
          <w:rFonts w:hint="default" w:ascii="Times New Roman"/>
          <w:lang w:val="en-US" w:eastAsia="zh-CN"/>
        </w:rPr>
      </w:pPr>
      <w:r>
        <w:rPr>
          <w:rFonts w:hint="eastAsia" w:ascii="Times New Roman"/>
          <w:lang w:val="en-US" w:eastAsia="zh-CN"/>
        </w:rPr>
        <w:t>a) 治疗性护理操作；</w:t>
      </w:r>
    </w:p>
    <w:p w14:paraId="1D179FCF">
      <w:pPr>
        <w:pStyle w:val="60"/>
        <w:spacing w:line="360" w:lineRule="auto"/>
        <w:ind w:firstLine="420"/>
        <w:rPr>
          <w:rFonts w:hint="eastAsia" w:ascii="Times New Roman"/>
          <w:lang w:val="en-US" w:eastAsia="zh-CN"/>
        </w:rPr>
      </w:pPr>
      <w:r>
        <w:rPr>
          <w:rFonts w:hint="eastAsia" w:ascii="Times New Roman"/>
          <w:lang w:val="en-US" w:eastAsia="zh-CN"/>
        </w:rPr>
        <w:t>b) 照护服务流程与操作规范；</w:t>
      </w:r>
    </w:p>
    <w:p w14:paraId="477ACE81">
      <w:pPr>
        <w:pStyle w:val="60"/>
        <w:spacing w:line="360" w:lineRule="auto"/>
        <w:ind w:firstLine="420"/>
        <w:rPr>
          <w:rFonts w:hint="eastAsia" w:ascii="Times New Roman"/>
          <w:lang w:val="en-US" w:eastAsia="zh-CN"/>
        </w:rPr>
      </w:pPr>
      <w:r>
        <w:rPr>
          <w:rFonts w:hint="eastAsia" w:ascii="Times New Roman"/>
          <w:lang w:val="en-US" w:eastAsia="zh-CN"/>
        </w:rPr>
        <w:t>c) 安宁疗护及人文关怀相关服务。</w:t>
      </w:r>
    </w:p>
    <w:p w14:paraId="24C3E66E">
      <w:pPr>
        <w:pStyle w:val="60"/>
        <w:spacing w:line="360" w:lineRule="auto"/>
        <w:ind w:left="422" w:leftChars="0" w:hanging="422" w:hangingChars="200"/>
        <w:rPr>
          <w:rFonts w:hint="eastAsia" w:ascii="黑体" w:hAnsi="黑体" w:eastAsia="黑体" w:cs="黑体"/>
          <w:b/>
          <w:bCs/>
          <w:lang w:val="en-US" w:eastAsia="zh-CN"/>
        </w:rPr>
      </w:pPr>
      <w:r>
        <w:rPr>
          <w:rFonts w:hint="eastAsia" w:ascii="黑体" w:hAnsi="黑体" w:eastAsia="黑体" w:cs="黑体"/>
          <w:b/>
          <w:bCs/>
          <w:lang w:val="en-US" w:eastAsia="zh-CN"/>
        </w:rPr>
        <w:t>6.2 支持工具与系统</w:t>
      </w:r>
    </w:p>
    <w:p w14:paraId="20ED172A">
      <w:pPr>
        <w:pStyle w:val="60"/>
        <w:spacing w:line="360" w:lineRule="auto"/>
        <w:ind w:firstLine="420"/>
        <w:rPr>
          <w:rFonts w:hint="eastAsia" w:ascii="Times New Roman"/>
          <w:lang w:val="en-US" w:eastAsia="zh-CN"/>
        </w:rPr>
      </w:pPr>
      <w:r>
        <w:rPr>
          <w:rFonts w:hint="eastAsia" w:ascii="Times New Roman"/>
          <w:lang w:val="en-US" w:eastAsia="zh-CN"/>
        </w:rPr>
        <w:t>为保障服务技术的有效实施，推广内容应配套提供必要的支撑工具和信息化条件，包括：</w:t>
      </w:r>
    </w:p>
    <w:p w14:paraId="3E0E781C">
      <w:pPr>
        <w:pStyle w:val="60"/>
        <w:spacing w:line="360" w:lineRule="auto"/>
        <w:ind w:firstLine="420"/>
        <w:rPr>
          <w:rFonts w:hint="eastAsia" w:ascii="Times New Roman"/>
          <w:lang w:val="en-US" w:eastAsia="zh-CN"/>
        </w:rPr>
      </w:pPr>
      <w:r>
        <w:rPr>
          <w:rFonts w:hint="eastAsia" w:ascii="Times New Roman"/>
          <w:lang w:val="en-US" w:eastAsia="zh-CN"/>
        </w:rPr>
        <w:t>a) 标准化培训资料和操作指引；</w:t>
      </w:r>
    </w:p>
    <w:p w14:paraId="21C5BE47">
      <w:pPr>
        <w:pStyle w:val="60"/>
        <w:spacing w:line="360" w:lineRule="auto"/>
        <w:ind w:firstLine="420"/>
        <w:rPr>
          <w:rFonts w:hint="eastAsia" w:ascii="Times New Roman"/>
          <w:lang w:val="en-US" w:eastAsia="zh-CN"/>
        </w:rPr>
      </w:pPr>
      <w:r>
        <w:rPr>
          <w:rFonts w:hint="eastAsia" w:ascii="Times New Roman"/>
          <w:lang w:val="en-US" w:eastAsia="zh-CN"/>
        </w:rPr>
        <w:t>b) 统一的服务记录、随访与评估工具；</w:t>
      </w:r>
    </w:p>
    <w:p w14:paraId="1B0DC854">
      <w:pPr>
        <w:pStyle w:val="60"/>
        <w:spacing w:line="360" w:lineRule="auto"/>
        <w:ind w:firstLine="420"/>
        <w:rPr>
          <w:rFonts w:hint="eastAsia" w:ascii="Times New Roman"/>
        </w:rPr>
      </w:pPr>
      <w:r>
        <w:rPr>
          <w:rFonts w:hint="eastAsia" w:ascii="Times New Roman"/>
          <w:lang w:val="en-US" w:eastAsia="zh-CN"/>
        </w:rPr>
        <w:t>c) 面向不同人群和病种的健康教育资源。</w:t>
      </w:r>
    </w:p>
    <w:p w14:paraId="2AD1F8D6">
      <w:pPr>
        <w:pStyle w:val="60"/>
        <w:spacing w:line="360" w:lineRule="auto"/>
        <w:ind w:left="422" w:leftChars="0" w:hanging="422" w:hangingChars="200"/>
        <w:rPr>
          <w:rFonts w:hint="default" w:ascii="黑体" w:hAnsi="黑体" w:eastAsia="黑体" w:cs="黑体"/>
          <w:b/>
          <w:bCs/>
          <w:lang w:val="en-US" w:eastAsia="zh-CN"/>
        </w:rPr>
      </w:pPr>
      <w:r>
        <w:rPr>
          <w:rFonts w:hint="eastAsia" w:ascii="黑体" w:hAnsi="黑体" w:eastAsia="黑体" w:cs="黑体"/>
          <w:b/>
          <w:bCs/>
          <w:lang w:val="en-US" w:eastAsia="zh-CN"/>
        </w:rPr>
        <w:t>6.3 组织实施与资源配置</w:t>
      </w:r>
    </w:p>
    <w:p w14:paraId="7F6879E7">
      <w:pPr>
        <w:pStyle w:val="60"/>
        <w:spacing w:line="360" w:lineRule="auto"/>
        <w:ind w:firstLine="420"/>
        <w:rPr>
          <w:rFonts w:hint="eastAsia" w:ascii="Times New Roman"/>
        </w:rPr>
      </w:pPr>
      <w:r>
        <w:rPr>
          <w:rFonts w:hint="eastAsia" w:ascii="Times New Roman"/>
        </w:rPr>
        <w:t>推广内容应明确服务实施的组织模式和资源配置要求，包括：</w:t>
      </w:r>
    </w:p>
    <w:p w14:paraId="24FB6874">
      <w:pPr>
        <w:pStyle w:val="60"/>
        <w:spacing w:line="360" w:lineRule="auto"/>
        <w:ind w:firstLine="420"/>
        <w:rPr>
          <w:rFonts w:hint="eastAsia" w:ascii="Times New Roman"/>
        </w:rPr>
      </w:pPr>
      <w:r>
        <w:rPr>
          <w:rFonts w:hint="eastAsia" w:ascii="Times New Roman"/>
        </w:rPr>
        <w:t>a) 医疗机构、公共卫生机构及相关服务机构之间的协作方式；</w:t>
      </w:r>
    </w:p>
    <w:p w14:paraId="2D6DBD4A">
      <w:pPr>
        <w:pStyle w:val="60"/>
        <w:spacing w:line="360" w:lineRule="auto"/>
        <w:ind w:firstLine="420"/>
        <w:rPr>
          <w:rFonts w:hint="eastAsia" w:ascii="Times New Roman"/>
        </w:rPr>
      </w:pPr>
      <w:r>
        <w:rPr>
          <w:rFonts w:hint="eastAsia" w:ascii="Times New Roman"/>
        </w:rPr>
        <w:t>b) 不同层级医疗卫生机构在服务提供中的职责分工；</w:t>
      </w:r>
    </w:p>
    <w:p w14:paraId="3B1ABA95">
      <w:pPr>
        <w:pStyle w:val="60"/>
        <w:spacing w:line="360" w:lineRule="auto"/>
        <w:ind w:firstLine="420"/>
        <w:rPr>
          <w:rFonts w:hint="eastAsia" w:ascii="Times New Roman"/>
        </w:rPr>
      </w:pPr>
      <w:r>
        <w:rPr>
          <w:rFonts w:hint="eastAsia" w:ascii="Times New Roman"/>
        </w:rPr>
        <w:t>c) 服务所需人员、设备及经费的基本配置要求；</w:t>
      </w:r>
    </w:p>
    <w:p w14:paraId="5B9270DB">
      <w:pPr>
        <w:pStyle w:val="65"/>
        <w:numPr>
          <w:ilvl w:val="1"/>
          <w:numId w:val="0"/>
        </w:numPr>
        <w:adjustRightInd w:val="0"/>
        <w:snapToGrid w:val="0"/>
        <w:spacing w:before="240" w:after="240" w:line="360" w:lineRule="auto"/>
        <w:jc w:val="left"/>
        <w:rPr>
          <w:rFonts w:hint="eastAsia" w:ascii="黑体" w:hAnsi="黑体" w:eastAsia="黑体" w:cs="黑体"/>
          <w:b/>
          <w:bCs/>
          <w:szCs w:val="21"/>
          <w:lang w:val="en-US" w:eastAsia="zh-CN"/>
        </w:rPr>
      </w:pPr>
      <w:bookmarkStart w:id="44" w:name="_Toc17781"/>
      <w:r>
        <w:rPr>
          <w:rFonts w:hint="eastAsia" w:ascii="黑体" w:hAnsi="黑体" w:eastAsia="黑体" w:cs="黑体"/>
          <w:b/>
          <w:bCs/>
          <w:szCs w:val="21"/>
          <w:lang w:val="en-US" w:eastAsia="zh-CN"/>
        </w:rPr>
        <w:t>7推广主体</w:t>
      </w:r>
      <w:bookmarkEnd w:id="44"/>
    </w:p>
    <w:p w14:paraId="205455A4">
      <w:pPr>
        <w:pStyle w:val="60"/>
        <w:spacing w:line="360" w:lineRule="auto"/>
        <w:ind w:firstLine="420"/>
        <w:rPr>
          <w:rFonts w:ascii="Times New Roman"/>
        </w:rPr>
      </w:pPr>
      <w:r>
        <w:rPr>
          <w:rFonts w:hint="eastAsia" w:ascii="Times New Roman"/>
        </w:rPr>
        <w:t>公益服务型的组织和个人，国家机构、事业单位、社会团体、志愿者等；以营利为目的的社会组织和个人，企业、私立医院、连锁诊所、健康管理公司等。推广主体应具备合法资质，其推广行为不得替代医疗决策，不得进行虚假或误导性宣传。</w:t>
      </w:r>
    </w:p>
    <w:p w14:paraId="5E662AF9">
      <w:pPr>
        <w:pStyle w:val="65"/>
        <w:numPr>
          <w:ilvl w:val="1"/>
          <w:numId w:val="0"/>
        </w:numPr>
        <w:spacing w:before="240" w:after="240" w:line="360" w:lineRule="auto"/>
        <w:ind w:left="-420" w:leftChars="-200" w:firstLine="422" w:firstLineChars="200"/>
        <w:rPr>
          <w:rFonts w:hint="eastAsia" w:hAnsi="黑体" w:eastAsia="黑体" w:cs="黑体"/>
          <w:b/>
          <w:bCs/>
          <w:highlight w:val="yellow"/>
          <w:lang w:val="en-US" w:eastAsia="zh-CN"/>
        </w:rPr>
      </w:pPr>
      <w:bookmarkStart w:id="45" w:name="_Toc206164556"/>
      <w:bookmarkStart w:id="46" w:name="_Toc206169290"/>
      <w:bookmarkStart w:id="47" w:name="_Toc23922"/>
      <w:bookmarkStart w:id="48" w:name="_Toc23244"/>
      <w:r>
        <w:rPr>
          <w:rFonts w:hint="eastAsia" w:hAnsi="黑体" w:cs="黑体"/>
          <w:b/>
          <w:bCs/>
          <w:lang w:val="en-US" w:eastAsia="zh-CN"/>
        </w:rPr>
        <w:t>8</w:t>
      </w:r>
      <w:r>
        <w:rPr>
          <w:rFonts w:hint="eastAsia" w:hAnsi="黑体" w:cs="黑体"/>
          <w:b/>
          <w:bCs/>
        </w:rPr>
        <w:t xml:space="preserve"> </w:t>
      </w:r>
      <w:bookmarkEnd w:id="45"/>
      <w:bookmarkEnd w:id="46"/>
      <w:bookmarkEnd w:id="47"/>
      <w:r>
        <w:rPr>
          <w:rFonts w:hint="eastAsia" w:hAnsi="黑体" w:cs="黑体"/>
          <w:b/>
          <w:bCs/>
          <w:lang w:val="en-US" w:eastAsia="zh-CN"/>
        </w:rPr>
        <w:t>推广客体</w:t>
      </w:r>
      <w:bookmarkEnd w:id="48"/>
    </w:p>
    <w:p w14:paraId="04E27D50">
      <w:pPr>
        <w:pStyle w:val="65"/>
        <w:numPr>
          <w:ilvl w:val="1"/>
          <w:numId w:val="0"/>
        </w:numPr>
        <w:spacing w:before="240" w:after="240" w:line="360" w:lineRule="auto"/>
        <w:ind w:firstLine="420" w:firstLineChars="200"/>
        <w:rPr>
          <w:rFonts w:hint="eastAsia" w:ascii="Times New Roman" w:hAnsi="Times New Roman" w:eastAsia="宋体" w:cs="Times New Roman"/>
          <w:sz w:val="21"/>
          <w:lang w:val="en-US" w:eastAsia="zh-CN" w:bidi="ar-SA"/>
        </w:rPr>
      </w:pPr>
      <w:bookmarkStart w:id="49" w:name="_Toc18195"/>
      <w:r>
        <w:rPr>
          <w:rFonts w:hint="eastAsia" w:ascii="Times New Roman" w:hAnsi="Times New Roman" w:eastAsia="宋体" w:cs="Times New Roman"/>
          <w:sz w:val="21"/>
          <w:lang w:val="en-US" w:eastAsia="zh-CN" w:bidi="ar-SA"/>
        </w:rPr>
        <w:t>本标准面向重大慢病防治全链条所涉及的各类人群进行推广。推广客体包括已被确诊的现患患者、存在可改变危险因素或特定风险特征的高危人群，以及作为预防起点的广大社区居民。</w:t>
      </w:r>
    </w:p>
    <w:p w14:paraId="54135D57">
      <w:pPr>
        <w:pStyle w:val="65"/>
        <w:numPr>
          <w:ilvl w:val="1"/>
          <w:numId w:val="0"/>
        </w:numPr>
        <w:spacing w:before="240" w:after="240" w:line="360" w:lineRule="auto"/>
        <w:ind w:left="-420" w:leftChars="-200" w:firstLine="422" w:firstLineChars="200"/>
        <w:rPr>
          <w:rFonts w:hint="eastAsia" w:hAnsi="黑体" w:cs="黑体"/>
          <w:b/>
          <w:bCs/>
          <w:lang w:val="en-US" w:eastAsia="zh-CN"/>
        </w:rPr>
      </w:pPr>
      <w:r>
        <w:rPr>
          <w:rFonts w:hint="eastAsia" w:hAnsi="黑体" w:cs="黑体"/>
          <w:b/>
          <w:bCs/>
          <w:lang w:val="en-US" w:eastAsia="zh-CN"/>
        </w:rPr>
        <w:t>9</w:t>
      </w:r>
      <w:r>
        <w:rPr>
          <w:rFonts w:hint="eastAsia" w:hAnsi="黑体" w:cs="黑体"/>
          <w:b/>
          <w:bCs/>
        </w:rPr>
        <w:t xml:space="preserve"> </w:t>
      </w:r>
      <w:r>
        <w:rPr>
          <w:rFonts w:hint="eastAsia" w:hAnsi="黑体" w:cs="黑体"/>
          <w:b/>
          <w:bCs/>
          <w:lang w:val="en-US" w:eastAsia="zh-CN"/>
        </w:rPr>
        <w:t>推广原则</w:t>
      </w:r>
      <w:bookmarkEnd w:id="49"/>
    </w:p>
    <w:p w14:paraId="2A46FF31">
      <w:pPr>
        <w:pStyle w:val="60"/>
        <w:spacing w:line="360" w:lineRule="auto"/>
        <w:ind w:firstLine="420"/>
        <w:rPr>
          <w:rFonts w:hint="eastAsia" w:ascii="Times New Roman"/>
          <w:lang w:val="en-US" w:eastAsia="zh-CN"/>
        </w:rPr>
      </w:pPr>
      <w:r>
        <w:rPr>
          <w:rFonts w:hint="eastAsia" w:ascii="Times New Roman"/>
          <w:lang w:val="en-US" w:eastAsia="zh-CN"/>
        </w:rPr>
        <w:t>科学性：推广工作应基于权威医学研究成果、行业标准及专业规范。</w:t>
      </w:r>
    </w:p>
    <w:p w14:paraId="0466265D">
      <w:pPr>
        <w:pStyle w:val="60"/>
        <w:spacing w:line="360" w:lineRule="auto"/>
        <w:ind w:firstLine="420"/>
        <w:rPr>
          <w:rFonts w:hint="eastAsia" w:ascii="Times New Roman"/>
          <w:lang w:val="en-US" w:eastAsia="zh-CN"/>
        </w:rPr>
      </w:pPr>
      <w:r>
        <w:rPr>
          <w:rFonts w:hint="eastAsia" w:ascii="Times New Roman"/>
          <w:lang w:val="en-US" w:eastAsia="zh-CN"/>
        </w:rPr>
        <w:t>公平性：保障不同区域、不同群体在服务获取、资源享有等方面的均等性。</w:t>
      </w:r>
    </w:p>
    <w:p w14:paraId="74B4D7B9">
      <w:pPr>
        <w:pStyle w:val="60"/>
        <w:spacing w:line="360" w:lineRule="auto"/>
        <w:ind w:firstLine="420"/>
        <w:rPr>
          <w:rFonts w:hint="eastAsia" w:ascii="Times New Roman"/>
          <w:lang w:val="en-US" w:eastAsia="zh-CN"/>
        </w:rPr>
      </w:pPr>
      <w:r>
        <w:rPr>
          <w:rFonts w:hint="eastAsia" w:ascii="Times New Roman"/>
          <w:lang w:val="en-US" w:eastAsia="zh-CN"/>
        </w:rPr>
        <w:t>实用性：推广内容与实施方式应贴合实际场景，具备可操作性与落地性。</w:t>
      </w:r>
    </w:p>
    <w:p w14:paraId="61E14CC8">
      <w:pPr>
        <w:pStyle w:val="60"/>
        <w:spacing w:line="360" w:lineRule="auto"/>
        <w:ind w:firstLine="420"/>
        <w:rPr>
          <w:rFonts w:hint="eastAsia" w:ascii="Times New Roman"/>
          <w:lang w:val="en-US" w:eastAsia="zh-CN"/>
        </w:rPr>
      </w:pPr>
      <w:r>
        <w:rPr>
          <w:rFonts w:hint="eastAsia" w:ascii="Times New Roman"/>
          <w:lang w:val="en-US" w:eastAsia="zh-CN"/>
        </w:rPr>
        <w:t>可持续性：构建依托现有资源、可长期稳定运行的推广机制。</w:t>
      </w:r>
    </w:p>
    <w:p w14:paraId="6962AA72">
      <w:pPr>
        <w:pStyle w:val="60"/>
        <w:spacing w:line="360" w:lineRule="auto"/>
        <w:ind w:firstLine="420"/>
        <w:rPr>
          <w:rFonts w:hint="eastAsia" w:ascii="Times New Roman"/>
          <w:lang w:val="en-US" w:eastAsia="zh-CN"/>
        </w:rPr>
      </w:pPr>
      <w:r>
        <w:rPr>
          <w:rFonts w:hint="eastAsia" w:ascii="Times New Roman"/>
          <w:lang w:val="en-US" w:eastAsia="zh-CN"/>
        </w:rPr>
        <w:t>真实性：推广信息应客观、准确，如实呈现服务内容、效果。</w:t>
      </w:r>
    </w:p>
    <w:p w14:paraId="706A6B25">
      <w:pPr>
        <w:pStyle w:val="60"/>
        <w:spacing w:line="360" w:lineRule="auto"/>
        <w:ind w:firstLine="420"/>
        <w:rPr>
          <w:rFonts w:hint="eastAsia" w:ascii="Times New Roman"/>
          <w:lang w:val="en-US" w:eastAsia="zh-CN"/>
        </w:rPr>
      </w:pPr>
      <w:r>
        <w:rPr>
          <w:rFonts w:hint="eastAsia" w:ascii="Times New Roman"/>
          <w:lang w:val="en-US" w:eastAsia="zh-CN"/>
        </w:rPr>
        <w:t>协同性：推动多主体、多资源的有效联动与信息互通，形成推广工作的合力。</w:t>
      </w:r>
    </w:p>
    <w:p w14:paraId="1DE1B6DD">
      <w:pPr>
        <w:pStyle w:val="60"/>
        <w:spacing w:line="360" w:lineRule="auto"/>
        <w:ind w:firstLine="420"/>
        <w:rPr>
          <w:rFonts w:hint="eastAsia" w:ascii="Times New Roman"/>
          <w:lang w:val="en-US" w:eastAsia="zh-CN"/>
        </w:rPr>
      </w:pPr>
      <w:r>
        <w:rPr>
          <w:rFonts w:hint="eastAsia" w:ascii="Times New Roman"/>
          <w:lang w:val="en-US" w:eastAsia="zh-CN"/>
        </w:rPr>
        <w:t>安全性：全流程严格遵循风险防控要求，确保相关操作等符合安全规范。</w:t>
      </w:r>
    </w:p>
    <w:p w14:paraId="1A0A4CA1">
      <w:pPr>
        <w:pStyle w:val="60"/>
        <w:spacing w:line="360" w:lineRule="auto"/>
        <w:ind w:firstLine="420"/>
        <w:rPr>
          <w:rFonts w:hint="eastAsia" w:ascii="Times New Roman"/>
          <w:lang w:val="en-US" w:eastAsia="zh-CN"/>
        </w:rPr>
      </w:pPr>
      <w:r>
        <w:rPr>
          <w:rFonts w:hint="eastAsia" w:ascii="Times New Roman"/>
          <w:lang w:val="en-US" w:eastAsia="zh-CN"/>
        </w:rPr>
        <w:t>合规性：推广活动应符合国家及行业相关法律法规、规章制度及管理要求。</w:t>
      </w:r>
    </w:p>
    <w:p w14:paraId="192632AC">
      <w:pPr>
        <w:pStyle w:val="65"/>
        <w:numPr>
          <w:ilvl w:val="1"/>
          <w:numId w:val="0"/>
        </w:numPr>
        <w:spacing w:before="240" w:after="240" w:line="360" w:lineRule="auto"/>
        <w:ind w:left="-420" w:leftChars="-200" w:firstLine="422" w:firstLineChars="200"/>
        <w:rPr>
          <w:rFonts w:hint="default" w:hAnsi="黑体" w:eastAsia="黑体" w:cs="黑体"/>
          <w:b/>
          <w:bCs/>
          <w:highlight w:val="yellow"/>
          <w:lang w:val="en-US" w:eastAsia="zh-CN"/>
        </w:rPr>
      </w:pPr>
      <w:bookmarkStart w:id="50" w:name="_Toc16325"/>
      <w:r>
        <w:rPr>
          <w:rFonts w:hint="eastAsia" w:hAnsi="黑体" w:cs="黑体"/>
          <w:b/>
          <w:bCs/>
          <w:lang w:val="en-US" w:eastAsia="zh-CN"/>
        </w:rPr>
        <w:t>10</w:t>
      </w:r>
      <w:r>
        <w:rPr>
          <w:rFonts w:hint="eastAsia" w:hAnsi="黑体" w:cs="黑体"/>
          <w:b/>
          <w:bCs/>
        </w:rPr>
        <w:t xml:space="preserve"> </w:t>
      </w:r>
      <w:r>
        <w:rPr>
          <w:rFonts w:hint="eastAsia" w:hAnsi="黑体" w:cs="黑体"/>
          <w:b/>
          <w:bCs/>
          <w:lang w:val="en-US" w:eastAsia="zh-CN"/>
        </w:rPr>
        <w:t>推广成效评估</w:t>
      </w:r>
      <w:bookmarkEnd w:id="50"/>
    </w:p>
    <w:p w14:paraId="3C0DF860">
      <w:pPr>
        <w:autoSpaceDE w:val="0"/>
        <w:autoSpaceDN w:val="0"/>
        <w:spacing w:line="360" w:lineRule="auto"/>
        <w:rPr>
          <w:rFonts w:hint="eastAsia" w:ascii="黑体" w:hAnsi="黑体" w:eastAsia="黑体" w:cs="黑体"/>
          <w:b/>
          <w:bCs/>
          <w:lang w:val="en-US" w:eastAsia="zh-CN"/>
        </w:rPr>
      </w:pPr>
      <w:r>
        <w:rPr>
          <w:rFonts w:hint="eastAsia" w:ascii="黑体" w:hAnsi="黑体" w:eastAsia="黑体" w:cs="黑体"/>
          <w:b/>
          <w:bCs/>
          <w:lang w:val="en-US" w:eastAsia="zh-CN"/>
        </w:rPr>
        <w:t>10.1 内部评估</w:t>
      </w:r>
    </w:p>
    <w:p w14:paraId="2D8E8F76">
      <w:pPr>
        <w:pStyle w:val="60"/>
        <w:spacing w:line="360" w:lineRule="auto"/>
        <w:ind w:firstLine="420"/>
        <w:rPr>
          <w:rFonts w:hint="eastAsia" w:ascii="Times New Roman"/>
          <w:lang w:val="en-US" w:eastAsia="zh-CN"/>
        </w:rPr>
      </w:pPr>
      <w:r>
        <w:rPr>
          <w:rFonts w:hint="eastAsia" w:ascii="Times New Roman"/>
          <w:lang w:val="en-US" w:eastAsia="zh-CN"/>
        </w:rPr>
        <w:t>由推广主体自行组织评估，每年开展一次过程评估，项目结束后一年内完成终期评估。</w:t>
      </w:r>
    </w:p>
    <w:p w14:paraId="1173270F">
      <w:pPr>
        <w:pStyle w:val="60"/>
        <w:spacing w:line="360" w:lineRule="auto"/>
        <w:ind w:left="420" w:leftChars="200" w:firstLine="0" w:firstLineChars="0"/>
        <w:rPr>
          <w:rFonts w:hint="eastAsia" w:ascii="Times New Roman"/>
          <w:lang w:val="en-US" w:eastAsia="zh-CN"/>
        </w:rPr>
      </w:pPr>
      <w:r>
        <w:rPr>
          <w:rFonts w:hint="eastAsia" w:ascii="Times New Roman"/>
          <w:lang w:val="en-US" w:eastAsia="zh-CN"/>
        </w:rPr>
        <w:t>过程指标：目标人群覆盖率、随访完成率等。</w:t>
      </w:r>
    </w:p>
    <w:p w14:paraId="4E7E8DFC">
      <w:pPr>
        <w:pStyle w:val="60"/>
        <w:spacing w:line="360" w:lineRule="auto"/>
        <w:rPr>
          <w:rFonts w:hint="default" w:ascii="Times New Roman"/>
          <w:lang w:val="en-US" w:eastAsia="zh-CN"/>
        </w:rPr>
      </w:pPr>
      <w:r>
        <w:rPr>
          <w:rFonts w:hint="eastAsia" w:ascii="Times New Roman"/>
          <w:lang w:val="en-US" w:eastAsia="zh-CN"/>
        </w:rPr>
        <w:t>效果指标：患者知晓率、疾病相关指标达标率。</w:t>
      </w:r>
    </w:p>
    <w:p w14:paraId="31859456">
      <w:pPr>
        <w:pStyle w:val="60"/>
        <w:spacing w:line="360" w:lineRule="auto"/>
        <w:ind w:firstLine="420"/>
        <w:rPr>
          <w:rFonts w:hint="eastAsia" w:ascii="黑体" w:hAnsi="黑体" w:eastAsia="黑体" w:cs="黑体"/>
          <w:b/>
          <w:bCs/>
          <w:lang w:val="en-US" w:eastAsia="zh-CN"/>
        </w:rPr>
      </w:pPr>
      <w:r>
        <w:rPr>
          <w:rFonts w:hint="eastAsia" w:ascii="Times New Roman"/>
          <w:lang w:val="en-US" w:eastAsia="zh-CN"/>
        </w:rPr>
        <w:t>评估后形成书面报告，分析问题、提出改进建议。</w:t>
      </w:r>
    </w:p>
    <w:p w14:paraId="3D6B51DA">
      <w:pPr>
        <w:autoSpaceDE w:val="0"/>
        <w:autoSpaceDN w:val="0"/>
        <w:spacing w:line="360" w:lineRule="auto"/>
        <w:rPr>
          <w:rFonts w:hint="eastAsia" w:ascii="黑体" w:hAnsi="黑体" w:eastAsia="黑体" w:cs="黑体"/>
          <w:b/>
          <w:bCs/>
          <w:lang w:val="en-US" w:eastAsia="zh-CN"/>
        </w:rPr>
      </w:pPr>
      <w:r>
        <w:rPr>
          <w:rFonts w:hint="eastAsia" w:ascii="黑体" w:hAnsi="黑体" w:eastAsia="黑体" w:cs="黑体"/>
          <w:b/>
          <w:bCs/>
          <w:lang w:val="en-US" w:eastAsia="zh-CN"/>
        </w:rPr>
        <w:t>10.2 第三方认定</w:t>
      </w:r>
    </w:p>
    <w:p w14:paraId="38CD9E53">
      <w:pPr>
        <w:pStyle w:val="60"/>
        <w:spacing w:line="360" w:lineRule="auto"/>
        <w:ind w:firstLine="420"/>
        <w:rPr>
          <w:rFonts w:hint="eastAsia" w:ascii="Times New Roman"/>
          <w:lang w:val="en-US" w:eastAsia="zh-CN"/>
        </w:rPr>
      </w:pPr>
      <w:r>
        <w:rPr>
          <w:rFonts w:hint="eastAsia" w:ascii="Times New Roman"/>
          <w:lang w:val="en-US" w:eastAsia="zh-CN"/>
        </w:rPr>
        <w:t>应聘请独立于项目各方的专业机构进行认定。</w:t>
      </w:r>
    </w:p>
    <w:p w14:paraId="16E480EC">
      <w:pPr>
        <w:pStyle w:val="60"/>
        <w:spacing w:line="360" w:lineRule="auto"/>
        <w:ind w:firstLine="420"/>
        <w:rPr>
          <w:rFonts w:hint="eastAsia" w:ascii="Times New Roman"/>
          <w:lang w:val="en-US" w:eastAsia="zh-CN"/>
        </w:rPr>
      </w:pPr>
      <w:r>
        <w:rPr>
          <w:rFonts w:hint="eastAsia" w:ascii="Times New Roman"/>
          <w:lang w:val="en-US" w:eastAsia="zh-CN"/>
        </w:rPr>
        <w:t>认定内容包括：核查实施过程是否符合标准要求；数据的真实性与完整性；独立测算关键成效指标。</w:t>
      </w:r>
    </w:p>
    <w:p w14:paraId="6D96999F">
      <w:pPr>
        <w:pStyle w:val="60"/>
        <w:spacing w:line="360" w:lineRule="auto"/>
        <w:ind w:firstLine="420"/>
        <w:rPr>
          <w:rFonts w:hint="eastAsia" w:ascii="黑体" w:hAnsi="黑体" w:eastAsia="黑体" w:cs="黑体"/>
          <w:b/>
          <w:bCs/>
          <w:lang w:val="en-US" w:eastAsia="zh-CN"/>
        </w:rPr>
      </w:pPr>
      <w:r>
        <w:rPr>
          <w:rFonts w:hint="eastAsia" w:ascii="Times New Roman"/>
          <w:lang w:val="en-US" w:eastAsia="zh-CN"/>
        </w:rPr>
        <w:t>第三方机构需出具客观的认定报告。</w:t>
      </w:r>
    </w:p>
    <w:p w14:paraId="13A9F521">
      <w:pPr>
        <w:autoSpaceDE w:val="0"/>
        <w:autoSpaceDN w:val="0"/>
        <w:spacing w:line="360" w:lineRule="auto"/>
        <w:rPr>
          <w:rFonts w:hint="eastAsia" w:ascii="黑体" w:hAnsi="黑体" w:eastAsia="黑体" w:cs="黑体"/>
          <w:b/>
          <w:bCs/>
          <w:lang w:val="en-US" w:eastAsia="zh-CN"/>
        </w:rPr>
      </w:pPr>
      <w:r>
        <w:rPr>
          <w:rFonts w:hint="eastAsia" w:ascii="黑体" w:hAnsi="黑体" w:eastAsia="黑体" w:cs="黑体"/>
          <w:b/>
          <w:bCs/>
          <w:lang w:val="en-US" w:eastAsia="zh-CN"/>
        </w:rPr>
        <w:t>10.3 专家验收</w:t>
      </w:r>
    </w:p>
    <w:p w14:paraId="1AFA14C2">
      <w:pPr>
        <w:pStyle w:val="60"/>
        <w:spacing w:line="360" w:lineRule="auto"/>
        <w:ind w:firstLine="420"/>
        <w:rPr>
          <w:rFonts w:hint="eastAsia" w:ascii="黑体" w:hAnsi="黑体" w:eastAsia="黑体" w:cs="黑体"/>
          <w:b/>
          <w:bCs/>
          <w:lang w:val="en-US" w:eastAsia="zh-CN"/>
        </w:rPr>
      </w:pPr>
      <w:r>
        <w:rPr>
          <w:rFonts w:hint="eastAsia" w:ascii="Times New Roman"/>
          <w:lang w:val="en-US" w:eastAsia="zh-CN"/>
        </w:rPr>
        <w:t>宜通过会议评审的方式，形成“通过验收”“需修改后复核”或“不通过”的明确结论。</w:t>
      </w:r>
    </w:p>
    <w:p w14:paraId="7CD30804">
      <w:pPr>
        <w:rPr>
          <w:rFonts w:hint="eastAsia" w:ascii="黑体" w:hAnsi="黑体" w:eastAsia="黑体" w:cs="黑体"/>
          <w:b/>
          <w:bCs/>
          <w:spacing w:val="-2"/>
        </w:rPr>
      </w:pPr>
      <w:bookmarkStart w:id="51" w:name="_Toc206164562"/>
      <w:bookmarkStart w:id="52" w:name="_Toc7786"/>
      <w:bookmarkStart w:id="53" w:name="_Toc206169297"/>
      <w:bookmarkStart w:id="54" w:name="_Toc5581"/>
      <w:r>
        <w:rPr>
          <w:rFonts w:hint="eastAsia" w:ascii="黑体" w:hAnsi="黑体" w:eastAsia="黑体" w:cs="黑体"/>
          <w:b/>
          <w:bCs/>
          <w:spacing w:val="-2"/>
        </w:rPr>
        <w:br w:type="page"/>
      </w:r>
    </w:p>
    <w:p w14:paraId="16DD12DF">
      <w:pPr>
        <w:spacing w:before="68" w:line="220" w:lineRule="auto"/>
        <w:jc w:val="center"/>
        <w:outlineLvl w:val="0"/>
        <w:rPr>
          <w:rFonts w:hint="eastAsia" w:ascii="黑体" w:hAnsi="黑体" w:eastAsia="黑体" w:cs="黑体"/>
          <w:b/>
          <w:bCs/>
          <w:spacing w:val="-2"/>
        </w:rPr>
      </w:pPr>
      <w:r>
        <w:rPr>
          <w:rFonts w:hint="eastAsia" w:ascii="黑体" w:hAnsi="黑体" w:eastAsia="黑体" w:cs="黑体"/>
          <w:b/>
          <w:bCs/>
          <w:spacing w:val="-2"/>
        </w:rPr>
        <w:t>参考文献</w:t>
      </w:r>
      <w:bookmarkEnd w:id="51"/>
      <w:bookmarkEnd w:id="52"/>
      <w:bookmarkEnd w:id="53"/>
      <w:bookmarkEnd w:id="54"/>
    </w:p>
    <w:p w14:paraId="0FE6E4CA">
      <w:pPr>
        <w:spacing w:before="68" w:line="220" w:lineRule="auto"/>
        <w:jc w:val="center"/>
        <w:outlineLvl w:val="0"/>
        <w:rPr>
          <w:rFonts w:ascii="Times New Roman" w:hAnsi="Times New Roman" w:eastAsia="Times New Roman"/>
          <w:color w:val="000000"/>
          <w:sz w:val="20"/>
          <w:szCs w:val="24"/>
        </w:rPr>
      </w:pPr>
    </w:p>
    <w:p w14:paraId="41C54875">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GB/T 14396-2016</w:t>
      </w:r>
      <w:r>
        <w:rPr>
          <w:rFonts w:hint="eastAsia" w:ascii="Times New Roman" w:hAnsi="Times New Roman" w:eastAsia="宋体" w:cs="Times New Roman"/>
          <w:szCs w:val="21"/>
          <w:lang w:val="en-US" w:eastAsia="zh-CN"/>
          <w14:ligatures w14:val="standardContextual"/>
        </w:rPr>
        <w:t xml:space="preserve"> </w:t>
      </w:r>
      <w:r>
        <w:rPr>
          <w:rFonts w:hint="eastAsia" w:ascii="Times New Roman" w:hAnsi="Times New Roman" w:eastAsia="宋体" w:cs="Times New Roman"/>
          <w:szCs w:val="21"/>
          <w14:ligatures w14:val="standardContextual"/>
        </w:rPr>
        <w:t>疾病分类与代码</w:t>
      </w:r>
    </w:p>
    <w:p w14:paraId="41553B9F">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T/CRHA150-2025</w:t>
      </w:r>
      <w:r>
        <w:rPr>
          <w:rFonts w:hint="eastAsia" w:ascii="Times New Roman" w:hAnsi="Times New Roman" w:eastAsia="宋体" w:cs="Times New Roman"/>
          <w:szCs w:val="21"/>
          <w:lang w:val="en-US" w:eastAsia="zh-CN"/>
          <w14:ligatures w14:val="standardContextual"/>
        </w:rPr>
        <w:t xml:space="preserve"> </w:t>
      </w:r>
      <w:r>
        <w:rPr>
          <w:rFonts w:hint="eastAsia" w:ascii="Times New Roman" w:hAnsi="Times New Roman" w:eastAsia="宋体" w:cs="Times New Roman"/>
          <w:szCs w:val="21"/>
          <w14:ligatures w14:val="standardContextual"/>
        </w:rPr>
        <w:t>慢病医防融合分级诊疗指南</w:t>
      </w:r>
    </w:p>
    <w:p w14:paraId="129E7C1D">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T/CIATCM 019-2019</w:t>
      </w:r>
      <w:r>
        <w:rPr>
          <w:rFonts w:hint="eastAsia" w:ascii="Times New Roman" w:hAnsi="Times New Roman" w:eastAsia="宋体" w:cs="Times New Roman"/>
          <w:szCs w:val="21"/>
          <w:lang w:val="en-US" w:eastAsia="zh-CN"/>
          <w14:ligatures w14:val="standardContextual"/>
        </w:rPr>
        <w:t xml:space="preserve"> </w:t>
      </w:r>
      <w:r>
        <w:rPr>
          <w:rFonts w:hint="eastAsia" w:ascii="Times New Roman" w:hAnsi="Times New Roman" w:eastAsia="宋体" w:cs="Times New Roman"/>
          <w:szCs w:val="21"/>
          <w14:ligatures w14:val="standardContextual"/>
        </w:rPr>
        <w:t>中医临床路径信息系统基本功能规范</w:t>
      </w:r>
    </w:p>
    <w:p w14:paraId="16883B1B">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T/CACM 1613-2024</w:t>
      </w:r>
      <w:r>
        <w:rPr>
          <w:rFonts w:hint="eastAsia" w:ascii="Times New Roman" w:hAnsi="Times New Roman" w:eastAsia="宋体" w:cs="Times New Roman"/>
          <w:szCs w:val="21"/>
          <w:lang w:val="en-US" w:eastAsia="zh-CN"/>
          <w14:ligatures w14:val="standardContextual"/>
        </w:rPr>
        <w:t xml:space="preserve"> </w:t>
      </w:r>
      <w:r>
        <w:rPr>
          <w:rFonts w:hint="eastAsia" w:ascii="Times New Roman" w:hAnsi="Times New Roman" w:eastAsia="宋体" w:cs="Times New Roman"/>
          <w:szCs w:val="21"/>
          <w14:ligatures w14:val="standardContextual"/>
        </w:rPr>
        <w:t>非小细胞癌中西医结合诊疗指南</w:t>
      </w:r>
    </w:p>
    <w:p w14:paraId="268F1ABD">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T/CADERM 3032-2020</w:t>
      </w:r>
      <w:r>
        <w:rPr>
          <w:rFonts w:hint="eastAsia" w:ascii="Times New Roman" w:hAnsi="Times New Roman" w:eastAsia="宋体" w:cs="Times New Roman"/>
          <w:szCs w:val="21"/>
          <w:lang w:val="en-US" w:eastAsia="zh-CN"/>
          <w14:ligatures w14:val="standardContextual"/>
        </w:rPr>
        <w:t xml:space="preserve"> </w:t>
      </w:r>
      <w:r>
        <w:rPr>
          <w:rFonts w:hint="eastAsia" w:ascii="Times New Roman" w:hAnsi="Times New Roman" w:eastAsia="宋体" w:cs="Times New Roman"/>
          <w:szCs w:val="21"/>
          <w14:ligatures w14:val="standardContextual"/>
        </w:rPr>
        <w:t>创伤中心多学科协作诊治规范</w:t>
      </w:r>
    </w:p>
    <w:p w14:paraId="21AADB33">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T/NXBX 044-2025</w:t>
      </w:r>
      <w:r>
        <w:rPr>
          <w:rFonts w:hint="eastAsia" w:ascii="Times New Roman" w:hAnsi="Times New Roman" w:eastAsia="宋体" w:cs="Times New Roman"/>
          <w:szCs w:val="21"/>
          <w:lang w:val="en-US" w:eastAsia="zh-CN"/>
          <w14:ligatures w14:val="standardContextual"/>
        </w:rPr>
        <w:t xml:space="preserve"> </w:t>
      </w:r>
      <w:r>
        <w:rPr>
          <w:rFonts w:hint="eastAsia" w:ascii="Times New Roman" w:hAnsi="Times New Roman" w:eastAsia="宋体" w:cs="Times New Roman"/>
          <w:szCs w:val="21"/>
          <w14:ligatures w14:val="standardContextual"/>
        </w:rPr>
        <w:t>居家老年人康养照护（高级）人员从业技能规范</w:t>
      </w:r>
    </w:p>
    <w:p w14:paraId="432553A5">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T/CALC 010-2025</w:t>
      </w:r>
      <w:r>
        <w:rPr>
          <w:rFonts w:hint="eastAsia" w:ascii="Times New Roman" w:hAnsi="Times New Roman" w:eastAsia="宋体" w:cs="Times New Roman"/>
          <w:szCs w:val="21"/>
          <w:lang w:val="en-US" w:eastAsia="zh-CN"/>
          <w14:ligatures w14:val="standardContextual"/>
        </w:rPr>
        <w:t xml:space="preserve"> </w:t>
      </w:r>
      <w:r>
        <w:rPr>
          <w:rFonts w:hint="eastAsia" w:ascii="Times New Roman" w:hAnsi="Times New Roman" w:eastAsia="宋体" w:cs="Times New Roman"/>
          <w:szCs w:val="21"/>
          <w14:ligatures w14:val="standardContextual"/>
        </w:rPr>
        <w:t>安宁疗护人文关怀服务指南</w:t>
      </w:r>
    </w:p>
    <w:p w14:paraId="3AB72329">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T/JPMA 029-2025</w:t>
      </w:r>
      <w:r>
        <w:rPr>
          <w:rFonts w:hint="eastAsia" w:ascii="Times New Roman" w:hAnsi="Times New Roman" w:eastAsia="宋体" w:cs="Times New Roman"/>
          <w:szCs w:val="21"/>
          <w:lang w:val="en-US" w:eastAsia="zh-CN"/>
          <w14:ligatures w14:val="standardContextual"/>
        </w:rPr>
        <w:t xml:space="preserve"> </w:t>
      </w:r>
      <w:r>
        <w:rPr>
          <w:rFonts w:hint="eastAsia" w:ascii="Times New Roman" w:hAnsi="Times New Roman" w:eastAsia="宋体" w:cs="Times New Roman"/>
          <w:szCs w:val="21"/>
          <w14:ligatures w14:val="standardContextual"/>
        </w:rPr>
        <w:t>社区心血管病高危人群随访管理规范</w:t>
      </w:r>
    </w:p>
    <w:p w14:paraId="55794A7F">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 xml:space="preserve">World Health Organization. Health promotion and disease prevention[EB/OL]. (2020-01-01)[2026-01-03]. </w:t>
      </w:r>
      <w:r>
        <w:rPr>
          <w:rFonts w:hint="eastAsia" w:ascii="Times New Roman" w:hAnsi="Times New Roman" w:eastAsia="宋体" w:cs="Times New Roman"/>
          <w:szCs w:val="21"/>
          <w14:ligatures w14:val="standardContextual"/>
        </w:rPr>
        <w:fldChar w:fldCharType="begin"/>
      </w:r>
      <w:r>
        <w:rPr>
          <w:rFonts w:hint="eastAsia" w:ascii="Times New Roman" w:hAnsi="Times New Roman" w:eastAsia="宋体" w:cs="Times New Roman"/>
          <w:szCs w:val="21"/>
          <w14:ligatures w14:val="standardContextual"/>
        </w:rPr>
        <w:instrText xml:space="preserve"> HYPERLINK "https://www.who.int/health-topics/health-promotion" \t "_new" </w:instrText>
      </w:r>
      <w:r>
        <w:rPr>
          <w:rFonts w:hint="eastAsia" w:ascii="Times New Roman" w:hAnsi="Times New Roman" w:eastAsia="宋体" w:cs="Times New Roman"/>
          <w:szCs w:val="21"/>
          <w14:ligatures w14:val="standardContextual"/>
        </w:rPr>
        <w:fldChar w:fldCharType="separate"/>
      </w:r>
      <w:r>
        <w:rPr>
          <w:rFonts w:hint="eastAsia" w:ascii="Times New Roman" w:hAnsi="Times New Roman" w:eastAsia="宋体" w:cs="Times New Roman"/>
          <w:szCs w:val="21"/>
          <w14:ligatures w14:val="standardContextual"/>
        </w:rPr>
        <w:t>https://www.who.int/health-topics/health-promotion</w:t>
      </w:r>
      <w:r>
        <w:rPr>
          <w:rFonts w:hint="eastAsia" w:ascii="Times New Roman" w:hAnsi="Times New Roman" w:eastAsia="宋体" w:cs="Times New Roman"/>
          <w:szCs w:val="21"/>
          <w14:ligatures w14:val="standardContextual"/>
        </w:rPr>
        <w:fldChar w:fldCharType="end"/>
      </w:r>
      <w:r>
        <w:rPr>
          <w:rFonts w:hint="eastAsia" w:ascii="Times New Roman" w:hAnsi="Times New Roman" w:cs="Times New Roman"/>
          <w:szCs w:val="21"/>
          <w:lang w:val="en-US" w:eastAsia="zh-CN"/>
          <w14:ligatures w14:val="standardContextual"/>
        </w:rPr>
        <w:t>.</w:t>
      </w:r>
    </w:p>
    <w:p w14:paraId="6CFD5A63">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周丹, 周良, 王慧. 数字健康技术在主动健康领域的应用进展与发展建议[J]. 中国工程科学, 2025, 27(6): 32-43</w:t>
      </w:r>
      <w:r>
        <w:rPr>
          <w:rFonts w:hint="eastAsia" w:ascii="Times New Roman" w:hAnsi="Times New Roman" w:cs="Times New Roman"/>
          <w:szCs w:val="21"/>
          <w:lang w:val="en-US" w:eastAsia="zh-CN"/>
          <w14:ligatures w14:val="standardContextual"/>
        </w:rPr>
        <w:t>.</w:t>
      </w:r>
    </w:p>
    <w:p w14:paraId="70790258">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Rizvi DS. Health education and global health: Practices, applications, and future research. J Educ Health Promot. 2022 Aug 25;11:262.</w:t>
      </w:r>
    </w:p>
    <w:p w14:paraId="6CF7E014">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bookmarkStart w:id="55" w:name="_neb28004C96_7212_499A_8FAD_3B6A7883CD5C"/>
      <w:r>
        <w:rPr>
          <w:rFonts w:hint="eastAsia" w:ascii="Times New Roman" w:hAnsi="Times New Roman" w:eastAsia="宋体" w:cs="Times New Roman"/>
          <w:szCs w:val="21"/>
          <w14:ligatures w14:val="standardContextual"/>
        </w:rPr>
        <w:t xml:space="preserve">国务院办公厅. 关于推进分级诊疗制度建设的指导意见[EB/OL]. (2015-09-11) [2026-01-04]. </w:t>
      </w:r>
      <w:r>
        <w:rPr>
          <w:rFonts w:hint="eastAsia" w:ascii="Times New Roman" w:hAnsi="Times New Roman" w:eastAsia="宋体" w:cs="Times New Roman"/>
          <w:szCs w:val="21"/>
          <w14:ligatures w14:val="standardContextual"/>
        </w:rPr>
        <w:fldChar w:fldCharType="begin"/>
      </w:r>
      <w:r>
        <w:rPr>
          <w:rFonts w:hint="eastAsia" w:ascii="Times New Roman" w:hAnsi="Times New Roman" w:eastAsia="宋体" w:cs="Times New Roman"/>
          <w:szCs w:val="21"/>
          <w14:ligatures w14:val="standardContextual"/>
        </w:rPr>
        <w:instrText xml:space="preserve"> HYPERLINK "https://www.nhc.gov.cn/yzygj/c100068/201509/1d374d8faef1403b8d0d41a840ff4e73.shtml." </w:instrText>
      </w:r>
      <w:r>
        <w:rPr>
          <w:rFonts w:hint="eastAsia" w:ascii="Times New Roman" w:hAnsi="Times New Roman" w:eastAsia="宋体" w:cs="Times New Roman"/>
          <w:szCs w:val="21"/>
          <w14:ligatures w14:val="standardContextual"/>
        </w:rPr>
        <w:fldChar w:fldCharType="separate"/>
      </w:r>
      <w:r>
        <w:rPr>
          <w:rFonts w:hint="eastAsia" w:ascii="Times New Roman" w:hAnsi="Times New Roman" w:eastAsia="宋体" w:cs="Times New Roman"/>
          <w:szCs w:val="21"/>
          <w14:ligatures w14:val="standardContextual"/>
        </w:rPr>
        <w:t>https://www.nhc.gov.cn/yzygj/c100068/201509/1d374d8faef1403b8d0d41a840ff4e73.shtml.</w:t>
      </w:r>
      <w:r>
        <w:rPr>
          <w:rFonts w:hint="eastAsia" w:ascii="Times New Roman" w:hAnsi="Times New Roman" w:eastAsia="宋体" w:cs="Times New Roman"/>
          <w:szCs w:val="21"/>
          <w14:ligatures w14:val="standardContextual"/>
        </w:rPr>
        <w:fldChar w:fldCharType="end"/>
      </w:r>
    </w:p>
    <w:p w14:paraId="4BBB16B1">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Bircher J, Kuruvilla S. Defining health by addressing individual, social, and environmental determinants: new opportunities for health care and public health[J]. J Public Health Policy, 2014,35(3):363-386.</w:t>
      </w:r>
      <w:bookmarkEnd w:id="55"/>
    </w:p>
    <w:p w14:paraId="7DD4C5A6">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 xml:space="preserve">World Health Organization. Rehabilitation 2030: A Call for Action[EB/OL]. Geneva: WHO, 2021-01-01[2026-01-03]. </w:t>
      </w:r>
      <w:r>
        <w:rPr>
          <w:rFonts w:hint="eastAsia" w:ascii="Times New Roman" w:hAnsi="Times New Roman" w:eastAsia="宋体" w:cs="Times New Roman"/>
          <w:szCs w:val="21"/>
          <w14:ligatures w14:val="standardContextual"/>
        </w:rPr>
        <w:fldChar w:fldCharType="begin"/>
      </w:r>
      <w:r>
        <w:rPr>
          <w:rFonts w:hint="eastAsia" w:ascii="Times New Roman" w:hAnsi="Times New Roman" w:eastAsia="宋体" w:cs="Times New Roman"/>
          <w:szCs w:val="21"/>
          <w14:ligatures w14:val="standardContextual"/>
        </w:rPr>
        <w:instrText xml:space="preserve"> HYPERLINK "https://www.who.int/initiatives/rehabilitation-2030" \t "_new" </w:instrText>
      </w:r>
      <w:r>
        <w:rPr>
          <w:rFonts w:hint="eastAsia" w:ascii="Times New Roman" w:hAnsi="Times New Roman" w:eastAsia="宋体" w:cs="Times New Roman"/>
          <w:szCs w:val="21"/>
          <w14:ligatures w14:val="standardContextual"/>
        </w:rPr>
        <w:fldChar w:fldCharType="separate"/>
      </w:r>
      <w:r>
        <w:rPr>
          <w:rFonts w:hint="eastAsia" w:ascii="Times New Roman" w:hAnsi="Times New Roman" w:eastAsia="宋体" w:cs="Times New Roman"/>
          <w:szCs w:val="21"/>
          <w14:ligatures w14:val="standardContextual"/>
        </w:rPr>
        <w:t>https://www.who.int/initiatives/rehabilitation-2030</w:t>
      </w:r>
      <w:r>
        <w:rPr>
          <w:rFonts w:hint="eastAsia" w:ascii="Times New Roman" w:hAnsi="Times New Roman" w:eastAsia="宋体" w:cs="Times New Roman"/>
          <w:szCs w:val="21"/>
          <w14:ligatures w14:val="standardContextual"/>
        </w:rPr>
        <w:fldChar w:fldCharType="end"/>
      </w:r>
      <w:r>
        <w:rPr>
          <w:rFonts w:hint="eastAsia" w:ascii="Times New Roman" w:hAnsi="Times New Roman" w:cs="Times New Roman"/>
          <w:szCs w:val="21"/>
          <w:lang w:val="en-US" w:eastAsia="zh-CN"/>
          <w14:ligatures w14:val="standardContextual"/>
        </w:rPr>
        <w:t>.</w:t>
      </w:r>
    </w:p>
    <w:p w14:paraId="334CD491">
      <w:pPr>
        <w:numPr>
          <w:ilvl w:val="0"/>
          <w:numId w:val="4"/>
        </w:numPr>
        <w:adjustRightInd w:val="0"/>
        <w:spacing w:line="400" w:lineRule="exact"/>
        <w:ind w:left="425" w:leftChars="0" w:hanging="425" w:firstLineChars="0"/>
        <w:rPr>
          <w:rFonts w:hint="eastAsia" w:ascii="Times New Roman" w:hAnsi="Times New Roman" w:eastAsia="宋体" w:cs="Times New Roman"/>
          <w:szCs w:val="21"/>
          <w14:ligatures w14:val="standardContextual"/>
        </w:rPr>
      </w:pPr>
      <w:r>
        <w:rPr>
          <w:rFonts w:hint="eastAsia" w:ascii="Times New Roman" w:hAnsi="Times New Roman" w:eastAsia="宋体" w:cs="Times New Roman"/>
          <w:szCs w:val="21"/>
          <w14:ligatures w14:val="standardContextual"/>
        </w:rPr>
        <w:t xml:space="preserve">国家卫生健康委员会.《慢性病综合防控示范区建设指导标准》[EB/OL]. </w:t>
      </w:r>
      <w:r>
        <w:rPr>
          <w:rFonts w:hint="eastAsia" w:ascii="Times New Roman" w:hAnsi="Times New Roman" w:cs="Times New Roman"/>
          <w:szCs w:val="21"/>
          <w:lang w:val="en-US" w:eastAsia="zh-CN"/>
          <w14:ligatures w14:val="standardContextual"/>
        </w:rPr>
        <w:t>(</w:t>
      </w:r>
      <w:r>
        <w:rPr>
          <w:rFonts w:hint="eastAsia" w:ascii="Times New Roman" w:hAnsi="Times New Roman" w:eastAsia="宋体" w:cs="Times New Roman"/>
          <w:szCs w:val="21"/>
          <w14:ligatures w14:val="standardContextual"/>
        </w:rPr>
        <w:t>2016-11-01) [2026-01-04]</w:t>
      </w:r>
      <w:r>
        <w:rPr>
          <w:rFonts w:hint="eastAsia" w:ascii="Times New Roman" w:hAnsi="Times New Roman" w:cs="Times New Roman"/>
          <w:szCs w:val="21"/>
          <w:lang w:val="en-US" w:eastAsia="zh-CN"/>
          <w14:ligatures w14:val="standardContextual"/>
        </w:rPr>
        <w:t>.</w:t>
      </w:r>
      <w:r>
        <w:rPr>
          <w:rFonts w:hint="eastAsia" w:ascii="Times New Roman" w:hAnsi="Times New Roman" w:eastAsia="宋体" w:cs="Times New Roman"/>
          <w:szCs w:val="21"/>
          <w14:ligatures w14:val="standardContextual"/>
        </w:rPr>
        <w:t>https://www.nhc.gov.cn/jkj/c100063/201611/503830460a344b12a0f2b300cd2b76e0.shtml</w:t>
      </w:r>
    </w:p>
    <w:p w14:paraId="5405E7CA">
      <w:pPr>
        <w:numPr>
          <w:ilvl w:val="0"/>
          <w:numId w:val="0"/>
        </w:numPr>
        <w:adjustRightInd w:val="0"/>
        <w:spacing w:line="400" w:lineRule="exact"/>
        <w:ind w:leftChars="0"/>
        <w:rPr>
          <w:rFonts w:hint="eastAsia" w:ascii="Times New Roman" w:hAnsi="Times New Roman" w:eastAsia="宋体" w:cs="Times New Roman"/>
          <w:szCs w:val="21"/>
          <w14:ligatures w14:val="standardContextual"/>
        </w:rPr>
      </w:pPr>
    </w:p>
    <w:tbl>
      <w:tblPr>
        <w:tblStyle w:val="21"/>
        <w:tblW w:w="0" w:type="auto"/>
        <w:tblInd w:w="102" w:type="dxa"/>
        <w:tblLayout w:type="fixed"/>
        <w:tblCellMar>
          <w:top w:w="0" w:type="dxa"/>
          <w:left w:w="108" w:type="dxa"/>
          <w:bottom w:w="0" w:type="dxa"/>
          <w:right w:w="108" w:type="dxa"/>
        </w:tblCellMar>
      </w:tblPr>
      <w:tblGrid>
        <w:gridCol w:w="3088"/>
        <w:gridCol w:w="3190"/>
        <w:gridCol w:w="3101"/>
      </w:tblGrid>
      <w:tr w14:paraId="06BC1790">
        <w:tblPrEx>
          <w:tblCellMar>
            <w:top w:w="0" w:type="dxa"/>
            <w:left w:w="108" w:type="dxa"/>
            <w:bottom w:w="0" w:type="dxa"/>
            <w:right w:w="108" w:type="dxa"/>
          </w:tblCellMar>
        </w:tblPrEx>
        <w:trPr>
          <w:trHeight w:val="464" w:hRule="atLeast"/>
        </w:trPr>
        <w:tc>
          <w:tcPr>
            <w:tcW w:w="3088" w:type="dxa"/>
            <w:tcBorders>
              <w:top w:val="nil"/>
              <w:left w:val="nil"/>
              <w:bottom w:val="nil"/>
              <w:right w:val="nil"/>
            </w:tcBorders>
          </w:tcPr>
          <w:p w14:paraId="4B07413A">
            <w:pPr>
              <w:pStyle w:val="81"/>
              <w:ind w:firstLine="420"/>
            </w:pPr>
          </w:p>
        </w:tc>
        <w:tc>
          <w:tcPr>
            <w:tcW w:w="3190" w:type="dxa"/>
            <w:tcBorders>
              <w:top w:val="nil"/>
              <w:left w:val="nil"/>
              <w:bottom w:val="single" w:color="auto" w:sz="4" w:space="0"/>
              <w:right w:val="nil"/>
            </w:tcBorders>
          </w:tcPr>
          <w:p w14:paraId="207E96B2">
            <w:pPr>
              <w:spacing w:line="240" w:lineRule="atLeast"/>
              <w:ind w:firstLine="420"/>
            </w:pPr>
          </w:p>
          <w:p w14:paraId="22B6D977">
            <w:pPr>
              <w:spacing w:line="240" w:lineRule="atLeast"/>
            </w:pPr>
          </w:p>
        </w:tc>
        <w:tc>
          <w:tcPr>
            <w:tcW w:w="3101" w:type="dxa"/>
            <w:tcBorders>
              <w:top w:val="nil"/>
              <w:left w:val="nil"/>
              <w:bottom w:val="nil"/>
              <w:right w:val="nil"/>
            </w:tcBorders>
          </w:tcPr>
          <w:p w14:paraId="63970D91">
            <w:pPr>
              <w:spacing w:line="240" w:lineRule="atLeast"/>
              <w:ind w:firstLine="420"/>
            </w:pPr>
          </w:p>
        </w:tc>
      </w:tr>
    </w:tbl>
    <w:p w14:paraId="3838F3D0"/>
    <w:p w14:paraId="7100EEA8">
      <w:pPr>
        <w:numPr>
          <w:ilvl w:val="0"/>
          <w:numId w:val="0"/>
        </w:numPr>
        <w:adjustRightInd w:val="0"/>
        <w:spacing w:line="400" w:lineRule="exact"/>
        <w:ind w:leftChars="0"/>
        <w:rPr>
          <w:rFonts w:hint="eastAsia" w:ascii="Times New Roman" w:hAnsi="Times New Roman" w:eastAsia="宋体" w:cs="Times New Roman"/>
          <w:szCs w:val="21"/>
          <w14:ligatures w14:val="standardContextual"/>
        </w:rPr>
      </w:pPr>
    </w:p>
    <w:sectPr>
      <w:headerReference r:id="rId14" w:type="default"/>
      <w:headerReference r:id="rId15" w:type="even"/>
      <w:pgSz w:w="11906" w:h="16838"/>
      <w:pgMar w:top="975" w:right="1452" w:bottom="907" w:left="1440" w:header="851" w:footer="992" w:gutter="0"/>
      <w:pgNumType w:fmt="decimal"/>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entury">
    <w:panose1 w:val="02040604050505020304"/>
    <w:charset w:val="00"/>
    <w:family w:val="roman"/>
    <w:pitch w:val="default"/>
    <w:sig w:usb0="00000287"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713A">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99F7B">
    <w:pPr>
      <w:pStyle w:val="13"/>
      <w:spacing w:before="120" w:after="1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CCF56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1CCF567">
                    <w:pPr>
                      <w:pStyle w:val="13"/>
                    </w:pPr>
                    <w:r>
                      <w:fldChar w:fldCharType="begin"/>
                    </w:r>
                    <w:r>
                      <w:instrText xml:space="preserve"> PAGE  \* MERGEFORMAT </w:instrText>
                    </w:r>
                    <w:r>
                      <w:fldChar w:fldCharType="separate"/>
                    </w:r>
                    <w:r>
                      <w:t>1</w:t>
                    </w:r>
                    <w:r>
                      <w:fldChar w:fldCharType="end"/>
                    </w:r>
                  </w:p>
                </w:txbxContent>
              </v:textbox>
            </v:shape>
          </w:pict>
        </mc:Fallback>
      </mc:AlternateContent>
    </w:r>
    <w:sdt>
      <w:sdtPr>
        <w:id w:val="-1095470372"/>
        <w:showingPlcHdr/>
      </w:sdtPr>
      <w:sdtContent>
        <w:r>
          <w:rPr>
            <w:rFonts w:hint="eastAsia"/>
            <w:lang w:eastAsia="zh-CN"/>
          </w:rPr>
          <w:t xml:space="preserve">     </w:t>
        </w:r>
      </w:sdtContent>
    </w:sdt>
  </w:p>
  <w:p w14:paraId="04CA7BBC">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2800E">
    <w:pPr>
      <w:pStyle w:val="13"/>
      <w:spacing w:before="120" w:after="120"/>
      <w:jc w:val="right"/>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A2625B">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8A2625B">
                    <w:pPr>
                      <w:pStyle w:val="13"/>
                    </w:pPr>
                    <w:r>
                      <w:fldChar w:fldCharType="begin"/>
                    </w:r>
                    <w:r>
                      <w:instrText xml:space="preserve"> PAGE  \* MERGEFORMAT </w:instrText>
                    </w:r>
                    <w:r>
                      <w:fldChar w:fldCharType="separate"/>
                    </w:r>
                    <w:r>
                      <w:t>1</w:t>
                    </w:r>
                    <w:r>
                      <w:fldChar w:fldCharType="end"/>
                    </w:r>
                  </w:p>
                </w:txbxContent>
              </v:textbox>
            </v:shape>
          </w:pict>
        </mc:Fallback>
      </mc:AlternateContent>
    </w:r>
    <w:sdt>
      <w:sdtPr>
        <w:id w:val="147453351"/>
        <w:showingPlcHdr/>
      </w:sdtPr>
      <w:sdtContent>
        <w:r>
          <w:rPr>
            <w:rFonts w:hint="eastAsia"/>
            <w:lang w:eastAsia="zh-CN"/>
          </w:rPr>
          <w:t xml:space="preserve">     </w:t>
        </w:r>
      </w:sdtContent>
    </w:sdt>
  </w:p>
  <w:p w14:paraId="62153274">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7580644"/>
    </w:sdtPr>
    <w:sdtEndPr>
      <w:rPr>
        <w:rFonts w:ascii="宋体" w:hAnsi="宋体"/>
      </w:rPr>
    </w:sdtEndPr>
    <w:sdtContent>
      <w:p w14:paraId="3945C812">
        <w:pPr>
          <w:pStyle w:val="13"/>
          <w:spacing w:before="120" w:after="120"/>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w:t>
        </w:r>
        <w:r>
          <w:rPr>
            <w:rFonts w:ascii="宋体" w:hAnsi="宋体"/>
          </w:rPr>
          <w:fldChar w:fldCharType="end"/>
        </w:r>
      </w:p>
    </w:sdtContent>
  </w:sdt>
  <w:p w14:paraId="4CE62C1C">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35D83">
    <w:pPr>
      <w:pStyle w:val="55"/>
      <w:tabs>
        <w:tab w:val="clear" w:pos="4154"/>
        <w:tab w:val="clear" w:pos="8306"/>
      </w:tabs>
      <w:adjustRightInd w:val="0"/>
      <w:snapToGrid w:val="0"/>
      <w:spacing w:after="0" w:line="288" w:lineRule="auto"/>
      <w:jc w:val="left"/>
      <w:rPr>
        <w:rFonts w:ascii="Century" w:hAnsi="Century"/>
      </w:rPr>
    </w:pPr>
  </w:p>
  <w:p w14:paraId="53861B7A">
    <w:pPr>
      <w:widowControl/>
      <w:snapToGrid w:val="0"/>
      <w:spacing w:line="288" w:lineRule="auto"/>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附件4</w:t>
    </w:r>
  </w:p>
  <w:p w14:paraId="395746A0">
    <w:pPr>
      <w:pStyle w:val="55"/>
      <w:tabs>
        <w:tab w:val="clear" w:pos="4154"/>
        <w:tab w:val="clear" w:pos="8306"/>
      </w:tabs>
      <w:adjustRightInd w:val="0"/>
      <w:snapToGrid w:val="0"/>
      <w:spacing w:after="0" w:line="288" w:lineRule="auto"/>
      <w:jc w:val="left"/>
      <w:rPr>
        <w:rFonts w:ascii="Century" w:hAnsi="Century"/>
      </w:rPr>
    </w:pPr>
  </w:p>
  <w:p w14:paraId="2F485865">
    <w:pPr>
      <w:pStyle w:val="55"/>
      <w:tabs>
        <w:tab w:val="clear" w:pos="4154"/>
        <w:tab w:val="clear" w:pos="8306"/>
      </w:tabs>
      <w:adjustRightInd w:val="0"/>
      <w:snapToGrid w:val="0"/>
      <w:spacing w:after="0" w:line="288" w:lineRule="auto"/>
      <w:jc w:val="left"/>
      <w:rPr>
        <w:rFonts w:ascii="Century" w:hAnsi="Century"/>
      </w:rPr>
    </w:pPr>
    <w:r>
      <w:rPr>
        <w:rFonts w:hint="eastAsia" w:ascii="Century" w:hAnsi="Century"/>
      </w:rPr>
      <w:t>ICS  11.020（普通医学科学综合）</w:t>
    </w:r>
  </w:p>
  <w:p w14:paraId="6DF17C1F">
    <w:pPr>
      <w:snapToGrid w:val="0"/>
      <w:spacing w:line="288" w:lineRule="auto"/>
      <w:jc w:val="left"/>
      <w:rPr>
        <w:rFonts w:ascii="Century" w:hAnsi="Century"/>
      </w:rPr>
    </w:pPr>
    <w:r>
      <w:rPr>
        <w:rFonts w:ascii="Century" w:hAnsi="Century"/>
      </w:rPr>
      <w:t xml:space="preserve">CCS </w:t>
    </w:r>
    <w:r>
      <w:rPr>
        <w:rFonts w:hint="eastAsia" w:ascii="Century" w:hAnsi="Century"/>
      </w:rPr>
      <w:t xml:space="preserve"> </w:t>
    </w:r>
    <w:r>
      <w:rPr>
        <w:rFonts w:hint="eastAsia" w:ascii="Century" w:hAnsi="Century" w:eastAsia="黑体"/>
        <w:kern w:val="0"/>
        <w:szCs w:val="20"/>
      </w:rPr>
      <w:t>C50（卫生综合）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F0383">
    <w:pPr>
      <w:pStyle w:val="55"/>
      <w:tabs>
        <w:tab w:val="clear" w:pos="4154"/>
        <w:tab w:val="clear" w:pos="8306"/>
      </w:tabs>
      <w:adjustRightInd w:val="0"/>
      <w:snapToGrid w:val="0"/>
      <w:spacing w:after="0"/>
      <w:rPr>
        <w:rFonts w:ascii="Century" w:hAnsi="Century"/>
      </w:rPr>
    </w:pPr>
  </w:p>
  <w:p w14:paraId="3B3D09ED">
    <w:pPr>
      <w:pStyle w:val="55"/>
      <w:tabs>
        <w:tab w:val="clear" w:pos="4154"/>
        <w:tab w:val="clear" w:pos="8306"/>
      </w:tabs>
      <w:adjustRightInd w:val="0"/>
      <w:snapToGrid w:val="0"/>
      <w:spacing w:after="0"/>
      <w:rPr>
        <w:rFonts w:ascii="Century" w:hAnsi="Century"/>
      </w:rPr>
    </w:pPr>
  </w:p>
  <w:p w14:paraId="70D73D3D">
    <w:pPr>
      <w:pStyle w:val="55"/>
      <w:tabs>
        <w:tab w:val="clear" w:pos="4154"/>
        <w:tab w:val="clear" w:pos="8306"/>
      </w:tabs>
      <w:adjustRightInd w:val="0"/>
      <w:snapToGrid w:val="0"/>
      <w:spacing w:after="0"/>
      <w:rPr>
        <w:rFonts w:ascii="Century" w:hAnsi="Century"/>
      </w:rPr>
    </w:pPr>
  </w:p>
  <w:p w14:paraId="3EF60100">
    <w:pPr>
      <w:pStyle w:val="55"/>
      <w:tabs>
        <w:tab w:val="clear" w:pos="4154"/>
        <w:tab w:val="clear" w:pos="8306"/>
      </w:tabs>
      <w:adjustRightInd w:val="0"/>
      <w:snapToGrid w:val="0"/>
      <w:spacing w:after="0"/>
      <w:rPr>
        <w:rFonts w:ascii="Century" w:hAnsi="Century"/>
      </w:rPr>
    </w:pPr>
  </w:p>
  <w:p w14:paraId="613D10C2">
    <w:pPr>
      <w:pStyle w:val="55"/>
      <w:tabs>
        <w:tab w:val="clear" w:pos="4154"/>
        <w:tab w:val="clear" w:pos="8306"/>
      </w:tabs>
      <w:adjustRightInd w:val="0"/>
      <w:snapToGrid w:val="0"/>
      <w:spacing w:after="0"/>
      <w:rPr>
        <w:rFonts w:hint="eastAsia"/>
      </w:rPr>
    </w:pPr>
    <w:r>
      <w:rPr>
        <w:rFonts w:ascii="Century" w:hAnsi="Century"/>
      </w:rPr>
      <w:t xml:space="preserve">T / </w:t>
    </w:r>
    <w:r>
      <w:rPr>
        <w:rFonts w:hint="eastAsia" w:ascii="Century" w:hAnsi="Century"/>
      </w:rPr>
      <w:t>CALC</w:t>
    </w:r>
    <w:r>
      <w:t xml:space="preserve"> XX-20XX</w:t>
    </w:r>
  </w:p>
  <w:p w14:paraId="2B585EBB">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058B7">
    <w:pPr>
      <w:widowControl/>
      <w:snapToGrid w:val="0"/>
      <w:spacing w:line="240" w:lineRule="auto"/>
      <w:jc w:val="right"/>
      <w:rPr>
        <w:rFonts w:hint="eastAsia" w:ascii="黑体" w:hAnsi="宋体" w:eastAsia="黑体"/>
        <w:kern w:val="0"/>
        <w:szCs w:val="20"/>
      </w:rPr>
    </w:pPr>
    <w:r>
      <w:rPr>
        <w:rFonts w:ascii="Century" w:hAnsi="Century" w:eastAsia="黑体"/>
        <w:kern w:val="0"/>
        <w:szCs w:val="20"/>
      </w:rPr>
      <w:t xml:space="preserve">T / </w:t>
    </w:r>
    <w:r>
      <w:rPr>
        <w:rFonts w:hint="eastAsia" w:ascii="Century" w:hAnsi="Century" w:eastAsia="黑体"/>
        <w:kern w:val="0"/>
        <w:szCs w:val="20"/>
      </w:rPr>
      <w:t>CALC</w:t>
    </w:r>
    <w:r>
      <w:rPr>
        <w:rFonts w:ascii="黑体" w:hAnsi="宋体" w:eastAsia="黑体"/>
        <w:kern w:val="0"/>
        <w:szCs w:val="20"/>
      </w:rPr>
      <w:t xml:space="preserve"> XX-20XX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5E25">
    <w:pPr>
      <w:pStyle w:val="55"/>
      <w:tabs>
        <w:tab w:val="clear" w:pos="4154"/>
        <w:tab w:val="clear" w:pos="8306"/>
      </w:tabs>
      <w:adjustRightInd w:val="0"/>
      <w:snapToGrid w:val="0"/>
      <w:spacing w:after="0"/>
      <w:jc w:val="left"/>
      <w:rPr>
        <w:rFonts w:hint="eastAsia"/>
      </w:rPr>
    </w:pPr>
    <w:r>
      <w:rPr>
        <w:rFonts w:ascii="Century" w:hAnsi="Century"/>
      </w:rPr>
      <w:t xml:space="preserve">T / </w:t>
    </w:r>
    <w:r>
      <w:rPr>
        <w:rFonts w:hint="eastAsia" w:ascii="Century" w:hAnsi="Century"/>
      </w:rPr>
      <w:t>CALC</w:t>
    </w:r>
    <w:r>
      <w:t xml:space="preserve"> XX-20XX</w:t>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9FC64">
    <w:pPr>
      <w:pStyle w:val="55"/>
      <w:tabs>
        <w:tab w:val="left" w:pos="8333"/>
        <w:tab w:val="right" w:pos="9014"/>
        <w:tab w:val="clear" w:pos="4154"/>
        <w:tab w:val="clear" w:pos="8306"/>
      </w:tabs>
      <w:adjustRightInd w:val="0"/>
      <w:snapToGrid w:val="0"/>
      <w:spacing w:after="0"/>
      <w:rPr>
        <w:rFonts w:hint="eastAsia"/>
      </w:rPr>
    </w:pPr>
    <w:r>
      <w:rPr>
        <w:rFonts w:ascii="Century" w:hAnsi="Century"/>
      </w:rPr>
      <w:t xml:space="preserve">T / </w:t>
    </w:r>
    <w:r>
      <w:rPr>
        <w:rFonts w:hint="eastAsia" w:ascii="Century" w:hAnsi="Century"/>
      </w:rPr>
      <w:t>CALC</w:t>
    </w:r>
    <w:r>
      <w:t xml:space="preserve"> XX-20XX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93F3">
    <w:pPr>
      <w:pStyle w:val="55"/>
      <w:tabs>
        <w:tab w:val="clear" w:pos="4154"/>
        <w:tab w:val="clear" w:pos="8306"/>
      </w:tabs>
      <w:adjustRightInd w:val="0"/>
      <w:snapToGrid w:val="0"/>
      <w:spacing w:after="0"/>
      <w:ind w:right="1680"/>
      <w:jc w:val="both"/>
      <w:rPr>
        <w:rFonts w:hint="eastAsi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D3AD8">
    <w:pPr>
      <w:pStyle w:val="55"/>
      <w:tabs>
        <w:tab w:val="clear" w:pos="4154"/>
        <w:tab w:val="clear" w:pos="8306"/>
      </w:tabs>
      <w:adjustRightInd w:val="0"/>
      <w:snapToGrid w:val="0"/>
      <w:spacing w:after="0"/>
      <w:ind w:right="840"/>
      <w:jc w:val="both"/>
      <w:rPr>
        <w:rFonts w:hint="eastAsia"/>
      </w:rPr>
    </w:pPr>
    <w:r>
      <w:rPr>
        <w:rFonts w:ascii="Century" w:hAnsi="Century"/>
      </w:rPr>
      <w:t xml:space="preserve">T / </w:t>
    </w:r>
    <w:r>
      <w:rPr>
        <w:rFonts w:hint="eastAsia" w:ascii="Century" w:hAnsi="Century"/>
      </w:rPr>
      <w:t>CALC</w:t>
    </w:r>
    <w:r>
      <w:t xml:space="preserve"> XX-20XX</w:t>
    </w:r>
  </w:p>
  <w:p w14:paraId="0D372A04">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45380"/>
    <w:multiLevelType w:val="singleLevel"/>
    <w:tmpl w:val="B2E45380"/>
    <w:lvl w:ilvl="0" w:tentative="0">
      <w:start w:val="1"/>
      <w:numFmt w:val="decimal"/>
      <w:lvlText w:val="[%1]"/>
      <w:lvlJc w:val="left"/>
      <w:pPr>
        <w:tabs>
          <w:tab w:val="left" w:pos="420"/>
        </w:tabs>
        <w:ind w:left="425" w:leftChars="0" w:hanging="425" w:firstLineChars="0"/>
      </w:pPr>
      <w:rPr>
        <w:rFonts w:hint="default"/>
      </w:rPr>
    </w:lvl>
  </w:abstractNum>
  <w:abstractNum w:abstractNumId="1">
    <w:nsid w:val="07ED3FEA"/>
    <w:multiLevelType w:val="multilevel"/>
    <w:tmpl w:val="07ED3FEA"/>
    <w:lvl w:ilvl="0" w:tentative="0">
      <w:start w:val="1"/>
      <w:numFmt w:val="none"/>
      <w:pStyle w:val="49"/>
      <w:lvlText w:val="%1"/>
      <w:lvlJc w:val="left"/>
      <w:pPr>
        <w:ind w:left="425" w:hanging="425"/>
      </w:pPr>
      <w:rPr>
        <w:rFonts w:hint="eastAsia"/>
      </w:rPr>
    </w:lvl>
    <w:lvl w:ilvl="1" w:tentative="0">
      <w:start w:val="1"/>
      <w:numFmt w:val="decimal"/>
      <w:pStyle w:val="50"/>
      <w:suff w:val="nothing"/>
      <w:lvlText w:val="%10.%2 "/>
      <w:lvlJc w:val="left"/>
      <w:pPr>
        <w:ind w:left="0" w:firstLine="0"/>
      </w:pPr>
      <w:rPr>
        <w:rFonts w:hint="eastAsia" w:ascii="黑体" w:eastAsia="黑体" w:hAnsiTheme="minorHAnsi"/>
        <w:b w:val="0"/>
        <w:i w:val="0"/>
        <w:sz w:val="21"/>
      </w:rPr>
    </w:lvl>
    <w:lvl w:ilvl="2" w:tentative="0">
      <w:start w:val="1"/>
      <w:numFmt w:val="decimal"/>
      <w:pStyle w:val="51"/>
      <w:suff w:val="nothing"/>
      <w:lvlText w:val="%10.%2.%3 "/>
      <w:lvlJc w:val="left"/>
      <w:pPr>
        <w:ind w:left="0" w:firstLine="0"/>
      </w:pPr>
      <w:rPr>
        <w:rFonts w:hint="eastAsia" w:ascii="黑体" w:eastAsia="黑体" w:hAnsiTheme="minorHAnsi"/>
        <w:b w:val="0"/>
        <w:i w:val="0"/>
        <w:sz w:val="21"/>
      </w:rPr>
    </w:lvl>
    <w:lvl w:ilvl="3" w:tentative="0">
      <w:start w:val="1"/>
      <w:numFmt w:val="decimal"/>
      <w:pStyle w:val="52"/>
      <w:suff w:val="nothing"/>
      <w:lvlText w:val="%10.%2.%3.%4 "/>
      <w:lvlJc w:val="left"/>
      <w:pPr>
        <w:ind w:left="0" w:firstLine="0"/>
      </w:pPr>
      <w:rPr>
        <w:rFonts w:hint="eastAsia" w:ascii="黑体" w:eastAsia="黑体" w:hAnsiTheme="minorHAnsi"/>
        <w:b w:val="0"/>
        <w:i w:val="0"/>
        <w:sz w:val="21"/>
      </w:rPr>
    </w:lvl>
    <w:lvl w:ilvl="4" w:tentative="0">
      <w:start w:val="1"/>
      <w:numFmt w:val="decimal"/>
      <w:pStyle w:val="53"/>
      <w:suff w:val="nothing"/>
      <w:lvlText w:val="%10.%2.%3.%4.%5 "/>
      <w:lvlJc w:val="left"/>
      <w:pPr>
        <w:ind w:left="0" w:firstLine="0"/>
      </w:pPr>
      <w:rPr>
        <w:rFonts w:hint="eastAsia" w:ascii="黑体" w:eastAsia="黑体" w:hAnsiTheme="minorHAnsi"/>
        <w:b w:val="0"/>
        <w:i w:val="0"/>
        <w:sz w:val="21"/>
      </w:rPr>
    </w:lvl>
    <w:lvl w:ilvl="5" w:tentative="0">
      <w:start w:val="1"/>
      <w:numFmt w:val="decimal"/>
      <w:pStyle w:val="5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44C50F90"/>
    <w:multiLevelType w:val="multilevel"/>
    <w:tmpl w:val="44C50F90"/>
    <w:lvl w:ilvl="0" w:tentative="0">
      <w:start w:val="1"/>
      <w:numFmt w:val="lowerLetter"/>
      <w:pStyle w:val="74"/>
      <w:lvlText w:val="%1)"/>
      <w:lvlJc w:val="left"/>
      <w:pPr>
        <w:tabs>
          <w:tab w:val="left" w:pos="851"/>
        </w:tabs>
        <w:ind w:left="851" w:hanging="426"/>
      </w:pPr>
      <w:rPr>
        <w:rFonts w:hint="eastAsia" w:ascii="宋体" w:hAnsi="Times New Roman" w:eastAsia="宋体"/>
        <w:sz w:val="21"/>
      </w:rPr>
    </w:lvl>
    <w:lvl w:ilvl="1" w:tentative="0">
      <w:start w:val="1"/>
      <w:numFmt w:val="decimal"/>
      <w:pStyle w:val="72"/>
      <w:lvlText w:val="%2)"/>
      <w:lvlJc w:val="left"/>
      <w:pPr>
        <w:tabs>
          <w:tab w:val="left" w:pos="1276"/>
        </w:tabs>
        <w:ind w:left="1276" w:hanging="425"/>
      </w:pPr>
      <w:rPr>
        <w:rFonts w:hint="eastAsia" w:ascii="宋体" w:hAnsi="Times New Roman" w:eastAsia="宋体"/>
        <w:sz w:val="21"/>
      </w:rPr>
    </w:lvl>
    <w:lvl w:ilvl="2" w:tentative="0">
      <w:start w:val="1"/>
      <w:numFmt w:val="decimal"/>
      <w:pStyle w:val="7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52D9F8F4"/>
    <w:multiLevelType w:val="multilevel"/>
    <w:tmpl w:val="52D9F8F4"/>
    <w:lvl w:ilvl="0" w:tentative="0">
      <w:start w:val="1"/>
      <w:numFmt w:val="none"/>
      <w:pStyle w:val="67"/>
      <w:suff w:val="nothing"/>
      <w:lvlText w:val="%1"/>
      <w:lvlJc w:val="left"/>
      <w:pPr>
        <w:ind w:left="0" w:firstLine="0"/>
      </w:pPr>
      <w:rPr>
        <w:rFonts w:hint="eastAsia"/>
      </w:rPr>
    </w:lvl>
    <w:lvl w:ilvl="1" w:tentative="0">
      <w:start w:val="4"/>
      <w:numFmt w:val="decimal"/>
      <w:pStyle w:val="65"/>
      <w:suff w:val="nothing"/>
      <w:lvlText w:val="%1%2　"/>
      <w:lvlJc w:val="left"/>
      <w:pPr>
        <w:ind w:left="0" w:firstLine="0"/>
      </w:pPr>
      <w:rPr>
        <w:rFonts w:hint="eastAsia" w:ascii="黑体" w:eastAsia="黑体"/>
        <w:b w:val="0"/>
        <w:i w:val="0"/>
        <w:sz w:val="21"/>
      </w:rPr>
    </w:lvl>
    <w:lvl w:ilvl="2" w:tentative="0">
      <w:start w:val="1"/>
      <w:numFmt w:val="decimal"/>
      <w:pStyle w:val="66"/>
      <w:suff w:val="nothing"/>
      <w:lvlText w:val="%1%2.%3　"/>
      <w:lvlJc w:val="left"/>
      <w:pPr>
        <w:ind w:left="210" w:hanging="21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1"/>
      <w:suff w:val="nothing"/>
      <w:lvlText w:val="%1%2.%3.%4　"/>
      <w:lvlJc w:val="left"/>
      <w:pPr>
        <w:ind w:left="142" w:firstLine="0"/>
      </w:pPr>
      <w:rPr>
        <w:rFonts w:hint="default" w:ascii="黑体" w:eastAsia="黑体"/>
        <w:b w:val="0"/>
        <w:i w:val="0"/>
        <w:sz w:val="21"/>
      </w:rPr>
    </w:lvl>
    <w:lvl w:ilvl="4" w:tentative="0">
      <w:start w:val="1"/>
      <w:numFmt w:val="decimal"/>
      <w:pStyle w:val="62"/>
      <w:suff w:val="nothing"/>
      <w:lvlText w:val="%1%2.%3.%4.%5　"/>
      <w:lvlJc w:val="left"/>
      <w:pPr>
        <w:ind w:left="0" w:firstLine="0"/>
      </w:pPr>
      <w:rPr>
        <w:rFonts w:hint="eastAsia" w:ascii="黑体" w:eastAsia="黑体"/>
        <w:b w:val="0"/>
        <w:i w:val="0"/>
        <w:sz w:val="21"/>
      </w:rPr>
    </w:lvl>
    <w:lvl w:ilvl="5" w:tentative="0">
      <w:start w:val="1"/>
      <w:numFmt w:val="decimal"/>
      <w:pStyle w:val="63"/>
      <w:suff w:val="nothing"/>
      <w:lvlText w:val="%1%2.%3.%4.%5.%6　"/>
      <w:lvlJc w:val="left"/>
      <w:pPr>
        <w:ind w:left="0" w:firstLine="0"/>
      </w:pPr>
      <w:rPr>
        <w:rFonts w:hint="eastAsia" w:ascii="黑体" w:eastAsia="黑体"/>
        <w:b w:val="0"/>
        <w:i w:val="0"/>
        <w:sz w:val="21"/>
      </w:rPr>
    </w:lvl>
    <w:lvl w:ilvl="6" w:tentative="0">
      <w:start w:val="1"/>
      <w:numFmt w:val="decimal"/>
      <w:pStyle w:val="6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445"/>
    <w:rsid w:val="00000BA8"/>
    <w:rsid w:val="00013824"/>
    <w:rsid w:val="00042D8E"/>
    <w:rsid w:val="00053B65"/>
    <w:rsid w:val="00063698"/>
    <w:rsid w:val="00085447"/>
    <w:rsid w:val="000950EF"/>
    <w:rsid w:val="000B61E1"/>
    <w:rsid w:val="000F1462"/>
    <w:rsid w:val="000F686B"/>
    <w:rsid w:val="00103519"/>
    <w:rsid w:val="001158B2"/>
    <w:rsid w:val="00122EC2"/>
    <w:rsid w:val="00141CA6"/>
    <w:rsid w:val="001562FC"/>
    <w:rsid w:val="001804FB"/>
    <w:rsid w:val="0019241F"/>
    <w:rsid w:val="001E27BA"/>
    <w:rsid w:val="001F5BA7"/>
    <w:rsid w:val="002343C2"/>
    <w:rsid w:val="002416C2"/>
    <w:rsid w:val="00244894"/>
    <w:rsid w:val="0026203A"/>
    <w:rsid w:val="00272EAC"/>
    <w:rsid w:val="0028195F"/>
    <w:rsid w:val="00292823"/>
    <w:rsid w:val="002B2B12"/>
    <w:rsid w:val="002B767F"/>
    <w:rsid w:val="002C0D63"/>
    <w:rsid w:val="002F0FA4"/>
    <w:rsid w:val="002F3712"/>
    <w:rsid w:val="003002D1"/>
    <w:rsid w:val="003103FC"/>
    <w:rsid w:val="00321DC7"/>
    <w:rsid w:val="0039401F"/>
    <w:rsid w:val="003B25CE"/>
    <w:rsid w:val="003B41B3"/>
    <w:rsid w:val="003C6A45"/>
    <w:rsid w:val="003D033D"/>
    <w:rsid w:val="003E0A4E"/>
    <w:rsid w:val="003E236D"/>
    <w:rsid w:val="003E4E8A"/>
    <w:rsid w:val="003E7646"/>
    <w:rsid w:val="004441FB"/>
    <w:rsid w:val="00456502"/>
    <w:rsid w:val="0045751E"/>
    <w:rsid w:val="00475D4C"/>
    <w:rsid w:val="00494008"/>
    <w:rsid w:val="004A5245"/>
    <w:rsid w:val="004B0A78"/>
    <w:rsid w:val="004C3C6B"/>
    <w:rsid w:val="004F343E"/>
    <w:rsid w:val="0050479A"/>
    <w:rsid w:val="00515273"/>
    <w:rsid w:val="00530136"/>
    <w:rsid w:val="00554C60"/>
    <w:rsid w:val="005657D2"/>
    <w:rsid w:val="005660A3"/>
    <w:rsid w:val="00570BA3"/>
    <w:rsid w:val="00571EAB"/>
    <w:rsid w:val="00573219"/>
    <w:rsid w:val="00574050"/>
    <w:rsid w:val="005B4BEA"/>
    <w:rsid w:val="005E3204"/>
    <w:rsid w:val="00602A4D"/>
    <w:rsid w:val="0061366F"/>
    <w:rsid w:val="00647F3B"/>
    <w:rsid w:val="00651012"/>
    <w:rsid w:val="00672ADE"/>
    <w:rsid w:val="00676422"/>
    <w:rsid w:val="006A1285"/>
    <w:rsid w:val="006A5DE4"/>
    <w:rsid w:val="00702D21"/>
    <w:rsid w:val="00702F07"/>
    <w:rsid w:val="00707031"/>
    <w:rsid w:val="007107B6"/>
    <w:rsid w:val="00714683"/>
    <w:rsid w:val="007212FF"/>
    <w:rsid w:val="00736961"/>
    <w:rsid w:val="0073744E"/>
    <w:rsid w:val="00745EE9"/>
    <w:rsid w:val="007663BE"/>
    <w:rsid w:val="00774520"/>
    <w:rsid w:val="007829B6"/>
    <w:rsid w:val="0079154B"/>
    <w:rsid w:val="007A19B2"/>
    <w:rsid w:val="007A3198"/>
    <w:rsid w:val="0082348F"/>
    <w:rsid w:val="0083502D"/>
    <w:rsid w:val="00850621"/>
    <w:rsid w:val="00863589"/>
    <w:rsid w:val="00867A0F"/>
    <w:rsid w:val="00882D71"/>
    <w:rsid w:val="008949F8"/>
    <w:rsid w:val="00897426"/>
    <w:rsid w:val="0089765B"/>
    <w:rsid w:val="008B433A"/>
    <w:rsid w:val="008C0834"/>
    <w:rsid w:val="008C4651"/>
    <w:rsid w:val="008C4FF3"/>
    <w:rsid w:val="008D17E1"/>
    <w:rsid w:val="008D7483"/>
    <w:rsid w:val="009103E3"/>
    <w:rsid w:val="009273A0"/>
    <w:rsid w:val="00956942"/>
    <w:rsid w:val="00981E1F"/>
    <w:rsid w:val="0098543F"/>
    <w:rsid w:val="009D265C"/>
    <w:rsid w:val="009D5792"/>
    <w:rsid w:val="00A01C46"/>
    <w:rsid w:val="00A1122D"/>
    <w:rsid w:val="00A130D2"/>
    <w:rsid w:val="00A2776F"/>
    <w:rsid w:val="00A701DF"/>
    <w:rsid w:val="00A74B02"/>
    <w:rsid w:val="00A90478"/>
    <w:rsid w:val="00A93228"/>
    <w:rsid w:val="00A96074"/>
    <w:rsid w:val="00AB401C"/>
    <w:rsid w:val="00AC52E2"/>
    <w:rsid w:val="00B0527E"/>
    <w:rsid w:val="00B11692"/>
    <w:rsid w:val="00B37251"/>
    <w:rsid w:val="00B641C1"/>
    <w:rsid w:val="00B7666A"/>
    <w:rsid w:val="00B808FC"/>
    <w:rsid w:val="00BE44C5"/>
    <w:rsid w:val="00C14CA4"/>
    <w:rsid w:val="00C27754"/>
    <w:rsid w:val="00C325BF"/>
    <w:rsid w:val="00C416CE"/>
    <w:rsid w:val="00C52705"/>
    <w:rsid w:val="00C60018"/>
    <w:rsid w:val="00C73BE1"/>
    <w:rsid w:val="00C7563F"/>
    <w:rsid w:val="00C96627"/>
    <w:rsid w:val="00CB4359"/>
    <w:rsid w:val="00CC11BB"/>
    <w:rsid w:val="00CD4E9B"/>
    <w:rsid w:val="00D104EB"/>
    <w:rsid w:val="00D422CE"/>
    <w:rsid w:val="00D51761"/>
    <w:rsid w:val="00D85185"/>
    <w:rsid w:val="00D96A48"/>
    <w:rsid w:val="00DB221A"/>
    <w:rsid w:val="00DC08FE"/>
    <w:rsid w:val="00DC3980"/>
    <w:rsid w:val="00DD0DB2"/>
    <w:rsid w:val="00DD4445"/>
    <w:rsid w:val="00DD477E"/>
    <w:rsid w:val="00DD6F45"/>
    <w:rsid w:val="00DE10F7"/>
    <w:rsid w:val="00E17BE2"/>
    <w:rsid w:val="00E2619F"/>
    <w:rsid w:val="00E50B6F"/>
    <w:rsid w:val="00E82CF9"/>
    <w:rsid w:val="00EA2752"/>
    <w:rsid w:val="00ED014E"/>
    <w:rsid w:val="00ED5822"/>
    <w:rsid w:val="00EE4597"/>
    <w:rsid w:val="00EF2FD9"/>
    <w:rsid w:val="00F27AD5"/>
    <w:rsid w:val="00F375A9"/>
    <w:rsid w:val="00F61784"/>
    <w:rsid w:val="00F82383"/>
    <w:rsid w:val="00F83805"/>
    <w:rsid w:val="00FB5CE2"/>
    <w:rsid w:val="00FE62AB"/>
    <w:rsid w:val="00FF58BE"/>
    <w:rsid w:val="02BA754F"/>
    <w:rsid w:val="033B6E7D"/>
    <w:rsid w:val="034F0AEC"/>
    <w:rsid w:val="04B70785"/>
    <w:rsid w:val="07FE491D"/>
    <w:rsid w:val="088C54CB"/>
    <w:rsid w:val="09410F65"/>
    <w:rsid w:val="098826F0"/>
    <w:rsid w:val="0ADE3D74"/>
    <w:rsid w:val="0B157A1E"/>
    <w:rsid w:val="0B996E37"/>
    <w:rsid w:val="0C4A0131"/>
    <w:rsid w:val="0D417384"/>
    <w:rsid w:val="0DCC6EC3"/>
    <w:rsid w:val="119676AA"/>
    <w:rsid w:val="12E01257"/>
    <w:rsid w:val="15622423"/>
    <w:rsid w:val="16225C7A"/>
    <w:rsid w:val="17620A24"/>
    <w:rsid w:val="17D920F9"/>
    <w:rsid w:val="1BE4093E"/>
    <w:rsid w:val="1C542906"/>
    <w:rsid w:val="1DEE22A6"/>
    <w:rsid w:val="1FB03456"/>
    <w:rsid w:val="1FD2426D"/>
    <w:rsid w:val="208E2541"/>
    <w:rsid w:val="20CF5F18"/>
    <w:rsid w:val="22723BE6"/>
    <w:rsid w:val="22765384"/>
    <w:rsid w:val="24C467E9"/>
    <w:rsid w:val="255A0F8D"/>
    <w:rsid w:val="293031E1"/>
    <w:rsid w:val="2CAA33C6"/>
    <w:rsid w:val="2CFD499C"/>
    <w:rsid w:val="2DB553C8"/>
    <w:rsid w:val="2F967065"/>
    <w:rsid w:val="32425283"/>
    <w:rsid w:val="3392216A"/>
    <w:rsid w:val="351C03B9"/>
    <w:rsid w:val="357C1D11"/>
    <w:rsid w:val="3655044E"/>
    <w:rsid w:val="381F0069"/>
    <w:rsid w:val="38960718"/>
    <w:rsid w:val="3B4474A0"/>
    <w:rsid w:val="3C6F136A"/>
    <w:rsid w:val="3DB25561"/>
    <w:rsid w:val="3F9875F9"/>
    <w:rsid w:val="3FCC6AD3"/>
    <w:rsid w:val="3FDB2873"/>
    <w:rsid w:val="40E64100"/>
    <w:rsid w:val="421A678E"/>
    <w:rsid w:val="469C0643"/>
    <w:rsid w:val="46B362F7"/>
    <w:rsid w:val="46C61DAE"/>
    <w:rsid w:val="487646B4"/>
    <w:rsid w:val="48B74B2A"/>
    <w:rsid w:val="493354CD"/>
    <w:rsid w:val="49B52386"/>
    <w:rsid w:val="4A5509E6"/>
    <w:rsid w:val="4CBF59F6"/>
    <w:rsid w:val="4CD945DE"/>
    <w:rsid w:val="4D7917CB"/>
    <w:rsid w:val="4E911E25"/>
    <w:rsid w:val="4FE5334A"/>
    <w:rsid w:val="507F4DF2"/>
    <w:rsid w:val="51772CBD"/>
    <w:rsid w:val="54104D89"/>
    <w:rsid w:val="55F51857"/>
    <w:rsid w:val="58296419"/>
    <w:rsid w:val="58B10F39"/>
    <w:rsid w:val="597138D4"/>
    <w:rsid w:val="59E95DD4"/>
    <w:rsid w:val="5B9A2867"/>
    <w:rsid w:val="5CC860CC"/>
    <w:rsid w:val="5DB03139"/>
    <w:rsid w:val="5ECB28DF"/>
    <w:rsid w:val="5F562FF3"/>
    <w:rsid w:val="607751D5"/>
    <w:rsid w:val="61734267"/>
    <w:rsid w:val="629331D1"/>
    <w:rsid w:val="62DE42A4"/>
    <w:rsid w:val="62E4338E"/>
    <w:rsid w:val="63792DED"/>
    <w:rsid w:val="64D22CE6"/>
    <w:rsid w:val="67FF2CF3"/>
    <w:rsid w:val="69631D22"/>
    <w:rsid w:val="6B314818"/>
    <w:rsid w:val="6C282580"/>
    <w:rsid w:val="6CD27DE3"/>
    <w:rsid w:val="6D8714E4"/>
    <w:rsid w:val="6D8D463F"/>
    <w:rsid w:val="6E963C85"/>
    <w:rsid w:val="6EF72976"/>
    <w:rsid w:val="70381498"/>
    <w:rsid w:val="73A74179"/>
    <w:rsid w:val="7400407A"/>
    <w:rsid w:val="74852401"/>
    <w:rsid w:val="753C42C9"/>
    <w:rsid w:val="75BC0475"/>
    <w:rsid w:val="76501315"/>
    <w:rsid w:val="771633F6"/>
    <w:rsid w:val="774846D5"/>
    <w:rsid w:val="779C541D"/>
    <w:rsid w:val="78FB12B4"/>
    <w:rsid w:val="7C2D4E76"/>
    <w:rsid w:val="7C8F243F"/>
    <w:rsid w:val="7D740759"/>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2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0"/>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2"/>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3"/>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6"/>
    <w:qFormat/>
    <w:uiPriority w:val="0"/>
    <w:pPr>
      <w:spacing w:line="240" w:lineRule="auto"/>
    </w:pPr>
    <w:rPr>
      <w:rFonts w:eastAsia="黑体"/>
      <w:color w:val="C00000"/>
      <w:sz w:val="24"/>
      <w:szCs w:val="22"/>
      <w:lang w:eastAsia="en-US"/>
    </w:rPr>
  </w:style>
  <w:style w:type="paragraph" w:styleId="12">
    <w:name w:val="Balloon Text"/>
    <w:basedOn w:val="1"/>
    <w:link w:val="57"/>
    <w:semiHidden/>
    <w:unhideWhenUsed/>
    <w:qFormat/>
    <w:uiPriority w:val="99"/>
    <w:pPr>
      <w:spacing w:line="240" w:lineRule="auto"/>
    </w:pPr>
    <w:rPr>
      <w:sz w:val="18"/>
      <w:szCs w:val="18"/>
    </w:rPr>
  </w:style>
  <w:style w:type="paragraph" w:styleId="13">
    <w:name w:val="footer"/>
    <w:basedOn w:val="1"/>
    <w:link w:val="48"/>
    <w:unhideWhenUsed/>
    <w:qFormat/>
    <w:uiPriority w:val="99"/>
    <w:pPr>
      <w:tabs>
        <w:tab w:val="center" w:pos="4153"/>
        <w:tab w:val="right" w:pos="8306"/>
      </w:tabs>
      <w:snapToGrid w:val="0"/>
      <w:jc w:val="left"/>
    </w:pPr>
    <w:rPr>
      <w:sz w:val="18"/>
      <w:szCs w:val="18"/>
    </w:rPr>
  </w:style>
  <w:style w:type="paragraph" w:styleId="14">
    <w:name w:val="header"/>
    <w:basedOn w:val="1"/>
    <w:link w:val="47"/>
    <w:unhideWhenUsed/>
    <w:qFormat/>
    <w:uiPriority w:val="99"/>
    <w:pP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Subtitle"/>
    <w:basedOn w:val="1"/>
    <w:next w:val="1"/>
    <w:link w:val="3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toc 2"/>
    <w:basedOn w:val="1"/>
    <w:next w:val="1"/>
    <w:autoRedefine/>
    <w:unhideWhenUsed/>
    <w:qFormat/>
    <w:uiPriority w:val="39"/>
    <w:pPr>
      <w:ind w:left="420" w:leftChars="200"/>
    </w:pPr>
  </w:style>
  <w:style w:type="paragraph" w:styleId="18">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19">
    <w:name w:val="Title"/>
    <w:basedOn w:val="1"/>
    <w:next w:val="1"/>
    <w:link w:val="38"/>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0">
    <w:name w:val="annotation subject"/>
    <w:basedOn w:val="11"/>
    <w:next w:val="11"/>
    <w:link w:val="58"/>
    <w:semiHidden/>
    <w:unhideWhenUsed/>
    <w:qFormat/>
    <w:uiPriority w:val="99"/>
    <w:pPr>
      <w:spacing w:line="400" w:lineRule="exact"/>
      <w:jc w:val="left"/>
    </w:pPr>
    <w:rPr>
      <w:rFonts w:eastAsia="宋体"/>
      <w:b/>
      <w:bCs/>
      <w:color w:val="auto"/>
      <w:sz w:val="21"/>
      <w:szCs w:val="21"/>
      <w:lang w:eastAsia="zh-CN"/>
    </w:rPr>
  </w:style>
  <w:style w:type="table" w:styleId="22">
    <w:name w:val="Table Grid"/>
    <w:basedOn w:val="2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basedOn w:val="23"/>
    <w:semiHidden/>
    <w:unhideWhenUsed/>
    <w:qFormat/>
    <w:uiPriority w:val="99"/>
  </w:style>
  <w:style w:type="character" w:styleId="26">
    <w:name w:val="Emphasis"/>
    <w:basedOn w:val="23"/>
    <w:qFormat/>
    <w:uiPriority w:val="20"/>
    <w:rPr>
      <w:i/>
    </w:rPr>
  </w:style>
  <w:style w:type="character" w:styleId="27">
    <w:name w:val="Hyperlink"/>
    <w:basedOn w:val="23"/>
    <w:unhideWhenUsed/>
    <w:qFormat/>
    <w:uiPriority w:val="99"/>
    <w:rPr>
      <w:color w:val="467886" w:themeColor="hyperlink"/>
      <w:u w:val="single"/>
      <w14:textFill>
        <w14:solidFill>
          <w14:schemeClr w14:val="hlink"/>
        </w14:solidFill>
      </w14:textFill>
    </w:rPr>
  </w:style>
  <w:style w:type="character" w:styleId="28">
    <w:name w:val="annotation reference"/>
    <w:basedOn w:val="23"/>
    <w:semiHidden/>
    <w:unhideWhenUsed/>
    <w:qFormat/>
    <w:uiPriority w:val="99"/>
    <w:rPr>
      <w:sz w:val="21"/>
      <w:szCs w:val="21"/>
    </w:rPr>
  </w:style>
  <w:style w:type="character" w:customStyle="1" w:styleId="29">
    <w:name w:val="标题 1 字符"/>
    <w:basedOn w:val="23"/>
    <w:link w:val="2"/>
    <w:qFormat/>
    <w:uiPriority w:val="9"/>
    <w:rPr>
      <w:rFonts w:asciiTheme="majorHAnsi" w:hAnsiTheme="majorHAnsi" w:eastAsiaTheme="majorEastAsia" w:cstheme="majorBidi"/>
      <w:color w:val="104862" w:themeColor="accent1" w:themeShade="BF"/>
      <w:sz w:val="48"/>
      <w:szCs w:val="48"/>
    </w:rPr>
  </w:style>
  <w:style w:type="character" w:customStyle="1" w:styleId="30">
    <w:name w:val="标题 2 字符"/>
    <w:basedOn w:val="23"/>
    <w:link w:val="3"/>
    <w:qFormat/>
    <w:uiPriority w:val="9"/>
    <w:rPr>
      <w:rFonts w:asciiTheme="majorHAnsi" w:hAnsiTheme="majorHAnsi" w:eastAsiaTheme="majorEastAsia" w:cstheme="majorBidi"/>
      <w:color w:val="104862" w:themeColor="accent1" w:themeShade="BF"/>
      <w:sz w:val="40"/>
      <w:szCs w:val="40"/>
    </w:rPr>
  </w:style>
  <w:style w:type="character" w:customStyle="1" w:styleId="31">
    <w:name w:val="标题 3 字符"/>
    <w:basedOn w:val="23"/>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2">
    <w:name w:val="标题 4 字符"/>
    <w:basedOn w:val="23"/>
    <w:link w:val="5"/>
    <w:semiHidden/>
    <w:qFormat/>
    <w:uiPriority w:val="9"/>
    <w:rPr>
      <w:rFonts w:cstheme="majorBidi"/>
      <w:color w:val="104862" w:themeColor="accent1" w:themeShade="BF"/>
      <w:sz w:val="28"/>
      <w:szCs w:val="28"/>
    </w:rPr>
  </w:style>
  <w:style w:type="character" w:customStyle="1" w:styleId="33">
    <w:name w:val="标题 5 字符"/>
    <w:basedOn w:val="23"/>
    <w:link w:val="6"/>
    <w:semiHidden/>
    <w:qFormat/>
    <w:uiPriority w:val="9"/>
    <w:rPr>
      <w:rFonts w:cstheme="majorBidi"/>
      <w:color w:val="104862" w:themeColor="accent1" w:themeShade="BF"/>
      <w:sz w:val="24"/>
      <w:szCs w:val="24"/>
    </w:rPr>
  </w:style>
  <w:style w:type="character" w:customStyle="1" w:styleId="34">
    <w:name w:val="标题 6 字符"/>
    <w:basedOn w:val="23"/>
    <w:link w:val="7"/>
    <w:semiHidden/>
    <w:qFormat/>
    <w:uiPriority w:val="9"/>
    <w:rPr>
      <w:rFonts w:cstheme="majorBidi"/>
      <w:b/>
      <w:bCs/>
      <w:color w:val="104862" w:themeColor="accent1" w:themeShade="BF"/>
    </w:rPr>
  </w:style>
  <w:style w:type="character" w:customStyle="1" w:styleId="35">
    <w:name w:val="标题 7 字符"/>
    <w:basedOn w:val="23"/>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6">
    <w:name w:val="标题 8 字符"/>
    <w:basedOn w:val="23"/>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7">
    <w:name w:val="标题 9 字符"/>
    <w:basedOn w:val="23"/>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8">
    <w:name w:val="标题 字符"/>
    <w:basedOn w:val="23"/>
    <w:link w:val="19"/>
    <w:qFormat/>
    <w:uiPriority w:val="10"/>
    <w:rPr>
      <w:rFonts w:asciiTheme="majorHAnsi" w:hAnsiTheme="majorHAnsi" w:eastAsiaTheme="majorEastAsia" w:cstheme="majorBidi"/>
      <w:spacing w:val="-10"/>
      <w:kern w:val="28"/>
      <w:sz w:val="56"/>
      <w:szCs w:val="56"/>
    </w:rPr>
  </w:style>
  <w:style w:type="character" w:customStyle="1" w:styleId="39">
    <w:name w:val="副标题 字符"/>
    <w:basedOn w:val="23"/>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0">
    <w:name w:val="Quote"/>
    <w:basedOn w:val="1"/>
    <w:next w:val="1"/>
    <w:link w:val="4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1">
    <w:name w:val="引用 字符"/>
    <w:basedOn w:val="23"/>
    <w:link w:val="40"/>
    <w:qFormat/>
    <w:uiPriority w:val="29"/>
    <w:rPr>
      <w:i/>
      <w:iCs/>
      <w:color w:val="404040" w:themeColor="text1" w:themeTint="BF"/>
      <w14:textFill>
        <w14:solidFill>
          <w14:schemeClr w14:val="tx1">
            <w14:lumMod w14:val="75000"/>
            <w14:lumOff w14:val="25000"/>
          </w14:schemeClr>
        </w14:solidFill>
      </w14:textFill>
    </w:rPr>
  </w:style>
  <w:style w:type="paragraph" w:styleId="42">
    <w:name w:val="List Paragraph"/>
    <w:basedOn w:val="1"/>
    <w:qFormat/>
    <w:uiPriority w:val="34"/>
    <w:pPr>
      <w:ind w:left="720"/>
      <w:contextualSpacing/>
    </w:pPr>
  </w:style>
  <w:style w:type="character" w:customStyle="1" w:styleId="43">
    <w:name w:val="明显强调1"/>
    <w:basedOn w:val="23"/>
    <w:qFormat/>
    <w:uiPriority w:val="21"/>
    <w:rPr>
      <w:i/>
      <w:iCs/>
      <w:color w:val="104862" w:themeColor="accent1" w:themeShade="BF"/>
    </w:rPr>
  </w:style>
  <w:style w:type="paragraph" w:styleId="44">
    <w:name w:val="Intense Quote"/>
    <w:basedOn w:val="1"/>
    <w:next w:val="1"/>
    <w:link w:val="4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5">
    <w:name w:val="明显引用 字符"/>
    <w:basedOn w:val="23"/>
    <w:link w:val="44"/>
    <w:qFormat/>
    <w:uiPriority w:val="30"/>
    <w:rPr>
      <w:i/>
      <w:iCs/>
      <w:color w:val="104862" w:themeColor="accent1" w:themeShade="BF"/>
    </w:rPr>
  </w:style>
  <w:style w:type="character" w:customStyle="1" w:styleId="46">
    <w:name w:val="明显参考1"/>
    <w:basedOn w:val="23"/>
    <w:qFormat/>
    <w:uiPriority w:val="32"/>
    <w:rPr>
      <w:b/>
      <w:bCs/>
      <w:smallCaps/>
      <w:color w:val="104862" w:themeColor="accent1" w:themeShade="BF"/>
      <w:spacing w:val="5"/>
    </w:rPr>
  </w:style>
  <w:style w:type="character" w:customStyle="1" w:styleId="47">
    <w:name w:val="页眉 字符"/>
    <w:basedOn w:val="23"/>
    <w:link w:val="14"/>
    <w:qFormat/>
    <w:uiPriority w:val="99"/>
    <w:rPr>
      <w:sz w:val="18"/>
      <w:szCs w:val="18"/>
    </w:rPr>
  </w:style>
  <w:style w:type="character" w:customStyle="1" w:styleId="48">
    <w:name w:val="页脚 字符"/>
    <w:basedOn w:val="23"/>
    <w:link w:val="13"/>
    <w:qFormat/>
    <w:uiPriority w:val="99"/>
    <w:rPr>
      <w:sz w:val="18"/>
      <w:szCs w:val="18"/>
    </w:rPr>
  </w:style>
  <w:style w:type="paragraph" w:customStyle="1" w:styleId="49">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0">
    <w:name w:val="标准文件_引言一级条标题"/>
    <w:basedOn w:val="1"/>
    <w:next w:val="1"/>
    <w:qFormat/>
    <w:uiPriority w:val="0"/>
    <w:pPr>
      <w:widowControl/>
      <w:numPr>
        <w:ilvl w:val="1"/>
        <w:numId w:val="1"/>
      </w:numPr>
      <w:tabs>
        <w:tab w:val="left" w:pos="360"/>
      </w:tabs>
      <w:autoSpaceDE w:val="0"/>
      <w:autoSpaceDN w:val="0"/>
      <w:adjustRightInd/>
      <w:spacing w:before="50" w:beforeLines="50" w:after="50" w:afterLines="50" w:line="240" w:lineRule="auto"/>
      <w:ind w:firstLine="200"/>
    </w:pPr>
    <w:rPr>
      <w:rFonts w:ascii="黑体" w:hAnsi="Times New Roman" w:eastAsia="黑体"/>
      <w:kern w:val="0"/>
      <w:szCs w:val="20"/>
    </w:rPr>
  </w:style>
  <w:style w:type="paragraph" w:customStyle="1" w:styleId="51">
    <w:name w:val="标准文件_引言二级条标题"/>
    <w:basedOn w:val="1"/>
    <w:next w:val="1"/>
    <w:qFormat/>
    <w:uiPriority w:val="0"/>
    <w:pPr>
      <w:widowControl/>
      <w:numPr>
        <w:ilvl w:val="2"/>
        <w:numId w:val="1"/>
      </w:numPr>
      <w:tabs>
        <w:tab w:val="left" w:pos="360"/>
      </w:tabs>
      <w:autoSpaceDE w:val="0"/>
      <w:autoSpaceDN w:val="0"/>
      <w:adjustRightInd/>
      <w:spacing w:before="50" w:beforeLines="50" w:after="50" w:afterLines="50" w:line="240" w:lineRule="auto"/>
      <w:ind w:firstLine="200"/>
    </w:pPr>
    <w:rPr>
      <w:rFonts w:ascii="黑体" w:hAnsi="Times New Roman" w:eastAsia="黑体"/>
      <w:kern w:val="0"/>
      <w:szCs w:val="20"/>
    </w:rPr>
  </w:style>
  <w:style w:type="paragraph" w:customStyle="1" w:styleId="52">
    <w:name w:val="标准文件_引言三级条标题"/>
    <w:basedOn w:val="1"/>
    <w:next w:val="1"/>
    <w:qFormat/>
    <w:uiPriority w:val="0"/>
    <w:pPr>
      <w:widowControl/>
      <w:numPr>
        <w:ilvl w:val="3"/>
        <w:numId w:val="1"/>
      </w:numPr>
      <w:tabs>
        <w:tab w:val="left" w:pos="360"/>
      </w:tabs>
      <w:autoSpaceDE w:val="0"/>
      <w:autoSpaceDN w:val="0"/>
      <w:adjustRightInd/>
      <w:spacing w:before="50" w:beforeLines="50" w:after="50" w:afterLines="50" w:line="240" w:lineRule="auto"/>
      <w:ind w:firstLine="200"/>
    </w:pPr>
    <w:rPr>
      <w:rFonts w:ascii="黑体" w:hAnsi="Times New Roman" w:eastAsia="黑体"/>
      <w:kern w:val="0"/>
      <w:szCs w:val="20"/>
    </w:rPr>
  </w:style>
  <w:style w:type="paragraph" w:customStyle="1" w:styleId="53">
    <w:name w:val="标准文件_引言四级条标题"/>
    <w:basedOn w:val="1"/>
    <w:next w:val="1"/>
    <w:qFormat/>
    <w:uiPriority w:val="0"/>
    <w:pPr>
      <w:widowControl/>
      <w:numPr>
        <w:ilvl w:val="4"/>
        <w:numId w:val="1"/>
      </w:numPr>
      <w:tabs>
        <w:tab w:val="left" w:pos="360"/>
      </w:tabs>
      <w:autoSpaceDE w:val="0"/>
      <w:autoSpaceDN w:val="0"/>
      <w:adjustRightInd/>
      <w:spacing w:before="50" w:beforeLines="50" w:after="50" w:afterLines="50" w:line="240" w:lineRule="auto"/>
      <w:ind w:firstLine="200"/>
    </w:pPr>
    <w:rPr>
      <w:rFonts w:ascii="黑体" w:hAnsi="Times New Roman" w:eastAsia="黑体"/>
      <w:kern w:val="0"/>
      <w:szCs w:val="20"/>
    </w:rPr>
  </w:style>
  <w:style w:type="paragraph" w:customStyle="1" w:styleId="54">
    <w:name w:val="标准文件_引言五级条标题"/>
    <w:basedOn w:val="1"/>
    <w:next w:val="1"/>
    <w:qFormat/>
    <w:uiPriority w:val="0"/>
    <w:pPr>
      <w:widowControl/>
      <w:numPr>
        <w:ilvl w:val="5"/>
        <w:numId w:val="1"/>
      </w:numPr>
      <w:tabs>
        <w:tab w:val="left" w:pos="360"/>
      </w:tabs>
      <w:autoSpaceDE w:val="0"/>
      <w:autoSpaceDN w:val="0"/>
      <w:adjustRightInd/>
      <w:spacing w:before="50" w:beforeLines="50" w:after="50" w:afterLines="50" w:line="240" w:lineRule="auto"/>
      <w:ind w:firstLine="200"/>
    </w:pPr>
    <w:rPr>
      <w:rFonts w:ascii="黑体" w:hAnsi="Times New Roman" w:eastAsia="黑体"/>
      <w:kern w:val="0"/>
      <w:szCs w:val="20"/>
    </w:rPr>
  </w:style>
  <w:style w:type="paragraph" w:customStyle="1" w:styleId="5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character" w:customStyle="1" w:styleId="56">
    <w:name w:val="批注文字 字符"/>
    <w:basedOn w:val="23"/>
    <w:link w:val="11"/>
    <w:qFormat/>
    <w:uiPriority w:val="0"/>
    <w:rPr>
      <w:rFonts w:ascii="Calibri" w:hAnsi="Calibri" w:eastAsia="黑体" w:cs="Times New Roman"/>
      <w:color w:val="C00000"/>
      <w:sz w:val="24"/>
      <w:lang w:eastAsia="en-US"/>
      <w14:ligatures w14:val="none"/>
    </w:rPr>
  </w:style>
  <w:style w:type="character" w:customStyle="1" w:styleId="57">
    <w:name w:val="批注框文本 字符"/>
    <w:basedOn w:val="23"/>
    <w:link w:val="12"/>
    <w:semiHidden/>
    <w:qFormat/>
    <w:uiPriority w:val="99"/>
    <w:rPr>
      <w:rFonts w:ascii="Calibri" w:hAnsi="Calibri" w:eastAsia="宋体" w:cs="Times New Roman"/>
      <w:sz w:val="18"/>
      <w:szCs w:val="18"/>
      <w14:ligatures w14:val="none"/>
    </w:rPr>
  </w:style>
  <w:style w:type="character" w:customStyle="1" w:styleId="58">
    <w:name w:val="批注主题 字符"/>
    <w:basedOn w:val="56"/>
    <w:link w:val="20"/>
    <w:semiHidden/>
    <w:qFormat/>
    <w:uiPriority w:val="99"/>
    <w:rPr>
      <w:rFonts w:ascii="Calibri" w:hAnsi="Calibri" w:eastAsia="宋体" w:cs="Times New Roman"/>
      <w:b/>
      <w:bCs/>
      <w:color w:val="C00000"/>
      <w:sz w:val="24"/>
      <w:szCs w:val="21"/>
      <w:lang w:eastAsia="en-US"/>
      <w14:ligatures w14:val="none"/>
    </w:rPr>
  </w:style>
  <w:style w:type="paragraph" w:customStyle="1" w:styleId="5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0">
    <w:name w:val="标准文件_段"/>
    <w:link w:val="6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二级条标题"/>
    <w:next w:val="60"/>
    <w:qFormat/>
    <w:uiPriority w:val="0"/>
    <w:pPr>
      <w:widowControl w:val="0"/>
      <w:numPr>
        <w:ilvl w:val="3"/>
        <w:numId w:val="2"/>
      </w:numPr>
      <w:tabs>
        <w:tab w:val="left" w:pos="142"/>
      </w:tabs>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62">
    <w:name w:val="标准文件_三级条标题"/>
    <w:basedOn w:val="61"/>
    <w:next w:val="60"/>
    <w:qFormat/>
    <w:uiPriority w:val="0"/>
    <w:pPr>
      <w:widowControl/>
      <w:numPr>
        <w:ilvl w:val="4"/>
      </w:numPr>
      <w:outlineLvl w:val="3"/>
    </w:pPr>
  </w:style>
  <w:style w:type="paragraph" w:customStyle="1" w:styleId="63">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64">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65">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6">
    <w:name w:val="标准文件_一级条标题"/>
    <w:basedOn w:val="65"/>
    <w:next w:val="60"/>
    <w:qFormat/>
    <w:uiPriority w:val="0"/>
    <w:pPr>
      <w:numPr>
        <w:ilvl w:val="2"/>
      </w:numPr>
      <w:spacing w:before="50" w:beforeLines="50" w:after="50" w:afterLines="50"/>
      <w:outlineLvl w:val="1"/>
    </w:pPr>
  </w:style>
  <w:style w:type="paragraph" w:customStyle="1" w:styleId="6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68">
    <w:name w:val="标准文件_段 Char"/>
    <w:link w:val="60"/>
    <w:qFormat/>
    <w:uiPriority w:val="0"/>
    <w:rPr>
      <w:rFonts w:ascii="宋体" w:hAnsi="Times New Roman" w:eastAsia="宋体" w:cs="Times New Roman"/>
      <w:kern w:val="0"/>
      <w:szCs w:val="20"/>
      <w14:ligatures w14:val="none"/>
    </w:rPr>
  </w:style>
  <w:style w:type="paragraph" w:customStyle="1" w:styleId="69">
    <w:name w:val="WPSOffice手动目录 1"/>
    <w:qFormat/>
    <w:uiPriority w:val="0"/>
    <w:rPr>
      <w:rFonts w:ascii="Times New Roman" w:hAnsi="Times New Roman" w:eastAsia="宋体" w:cs="Times New Roman"/>
      <w:lang w:val="en-US" w:eastAsia="zh-CN" w:bidi="ar-SA"/>
    </w:rPr>
  </w:style>
  <w:style w:type="paragraph" w:customStyle="1" w:styleId="7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1">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72">
    <w:name w:val="标准文件_数字编号列项（二级）"/>
    <w:qFormat/>
    <w:uiPriority w:val="0"/>
    <w:pPr>
      <w:numPr>
        <w:ilvl w:val="1"/>
        <w:numId w:val="3"/>
      </w:numPr>
      <w:tabs>
        <w:tab w:val="left" w:pos="851"/>
      </w:tabs>
      <w:jc w:val="both"/>
    </w:pPr>
    <w:rPr>
      <w:rFonts w:ascii="宋体" w:hAnsi="Times New Roman" w:eastAsia="宋体" w:cs="Times New Roman"/>
      <w:sz w:val="21"/>
      <w:lang w:val="en-US" w:eastAsia="zh-CN" w:bidi="ar-SA"/>
    </w:rPr>
  </w:style>
  <w:style w:type="paragraph" w:customStyle="1" w:styleId="73">
    <w:name w:val="标准文件_编号列项（三级）"/>
    <w:qFormat/>
    <w:uiPriority w:val="0"/>
    <w:pPr>
      <w:numPr>
        <w:ilvl w:val="2"/>
        <w:numId w:val="3"/>
      </w:numPr>
      <w:tabs>
        <w:tab w:val="left" w:pos="851"/>
      </w:tabs>
    </w:pPr>
    <w:rPr>
      <w:rFonts w:ascii="宋体" w:hAnsi="Times New Roman" w:eastAsia="宋体" w:cs="Times New Roman"/>
      <w:sz w:val="21"/>
      <w:lang w:val="en-US" w:eastAsia="zh-CN" w:bidi="ar-SA"/>
    </w:rPr>
  </w:style>
  <w:style w:type="paragraph" w:customStyle="1" w:styleId="74">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75">
    <w:name w:val="修订1"/>
    <w:hidden/>
    <w:semiHidden/>
    <w:qFormat/>
    <w:uiPriority w:val="99"/>
    <w:rPr>
      <w:rFonts w:ascii="Calibri" w:hAnsi="Calibri" w:eastAsia="宋体" w:cs="Times New Roman"/>
      <w:kern w:val="2"/>
      <w:sz w:val="21"/>
      <w:szCs w:val="21"/>
      <w:lang w:val="en-US" w:eastAsia="zh-CN" w:bidi="ar-SA"/>
    </w:rPr>
  </w:style>
  <w:style w:type="paragraph" w:customStyle="1" w:styleId="76">
    <w:name w:val="修订2"/>
    <w:hidden/>
    <w:unhideWhenUsed/>
    <w:qFormat/>
    <w:uiPriority w:val="99"/>
    <w:rPr>
      <w:rFonts w:ascii="Calibri" w:hAnsi="Calibri" w:eastAsia="宋体" w:cs="Times New Roman"/>
      <w:kern w:val="2"/>
      <w:sz w:val="21"/>
      <w:szCs w:val="21"/>
      <w:lang w:val="en-US" w:eastAsia="zh-CN" w:bidi="ar-SA"/>
    </w:rPr>
  </w:style>
  <w:style w:type="character" w:customStyle="1" w:styleId="77">
    <w:name w:val="未处理的提及1"/>
    <w:basedOn w:val="23"/>
    <w:semiHidden/>
    <w:unhideWhenUsed/>
    <w:qFormat/>
    <w:uiPriority w:val="99"/>
    <w:rPr>
      <w:color w:val="605E5C"/>
      <w:shd w:val="clear" w:color="auto" w:fill="E1DFDD"/>
    </w:rPr>
  </w:style>
  <w:style w:type="table" w:customStyle="1" w:styleId="78">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79">
    <w:name w:val="修订3"/>
    <w:hidden/>
    <w:semiHidden/>
    <w:qFormat/>
    <w:uiPriority w:val="99"/>
    <w:rPr>
      <w:rFonts w:ascii="Calibri" w:hAnsi="Calibri" w:eastAsia="宋体" w:cs="Times New Roman"/>
      <w:kern w:val="2"/>
      <w:sz w:val="21"/>
      <w:szCs w:val="21"/>
      <w:lang w:val="en-US" w:eastAsia="zh-CN" w:bidi="ar-SA"/>
    </w:rPr>
  </w:style>
  <w:style w:type="paragraph" w:customStyle="1" w:styleId="80">
    <w:name w:val="Revision"/>
    <w:hidden/>
    <w:unhideWhenUsed/>
    <w:qFormat/>
    <w:uiPriority w:val="99"/>
    <w:rPr>
      <w:rFonts w:ascii="Calibri" w:hAnsi="Calibri" w:eastAsia="宋体" w:cs="Times New Roman"/>
      <w:kern w:val="2"/>
      <w:sz w:val="21"/>
      <w:szCs w:val="21"/>
      <w:lang w:val="en-US" w:eastAsia="zh-CN" w:bidi="ar-SA"/>
    </w:rPr>
  </w:style>
  <w:style w:type="paragraph" w:customStyle="1" w:styleId="81">
    <w:name w:val="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413998-3D0E-43BB-874E-DE09DE13DAFE}">
  <ds:schemaRefs/>
</ds:datastoreItem>
</file>

<file path=docProps/app.xml><?xml version="1.0" encoding="utf-8"?>
<Properties xmlns="http://schemas.openxmlformats.org/officeDocument/2006/extended-properties" xmlns:vt="http://schemas.openxmlformats.org/officeDocument/2006/docPropsVTypes">
  <Template>Normal</Template>
  <Pages>11</Pages>
  <Words>4572</Words>
  <Characters>5931</Characters>
  <Lines>46</Lines>
  <Paragraphs>12</Paragraphs>
  <TotalTime>0</TotalTime>
  <ScaleCrop>false</ScaleCrop>
  <LinksUpToDate>false</LinksUpToDate>
  <CharactersWithSpaces>6307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2025-09-13T01:25:00Z</dcterms:created>
  <dc:creator>段熠</dc:creator>
  <cp:lastModifiedBy>zhangsir</cp:lastModifiedBy>
  <cp:lastPrinted>2025-08-18T01:06:00Z</cp:lastPrinted>
  <dcterms:modified xsi:type="dcterms:W3CDTF">2026-03-06T09:21:48Z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eyJoZGlkIjoiMjFhYjg0NTMzNmMxNzk5NzQ2Nzg2NjkzNDM4OTMzMTQiLCJ1c2VySWQiOiIzMjkzNTA1OTEifQ==</vt:lpwstr>
  </property>
  <property fmtid="{D5CDD505-2E9C-101B-9397-08002B2CF9AE}" pid="3" name="KSOProductBuildVer">
    <vt:lpwstr>2052-12.1.0.25225</vt:lpwstr>
  </property>
  <property fmtid="{D5CDD505-2E9C-101B-9397-08002B2CF9AE}" pid="4" name="ICV">
    <vt:lpwstr>62AE47F3D554406AAC93BD38AEF53825_12</vt:lpwstr>
  </property>
</Properties>
</file>