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C0BEB">
      <w:pPr>
        <w:spacing w:before="123" w:line="225" w:lineRule="auto"/>
        <w:ind w:left="36"/>
        <w:rPr>
          <w:rFonts w:ascii="黑体" w:hAnsi="黑体" w:eastAsia="黑体" w:cs="黑体"/>
          <w:sz w:val="32"/>
          <w:szCs w:val="32"/>
        </w:rPr>
      </w:pPr>
      <w:r>
        <w:rPr>
          <w:rFonts w:ascii="黑体" w:hAnsi="黑体" w:eastAsia="黑体" w:cs="黑体"/>
          <w:spacing w:val="-8"/>
          <w:sz w:val="32"/>
          <w:szCs w:val="32"/>
        </w:rPr>
        <w:t>附件</w:t>
      </w:r>
      <w:r>
        <w:rPr>
          <w:rFonts w:ascii="黑体" w:hAnsi="黑体" w:eastAsia="黑体" w:cs="黑体"/>
          <w:spacing w:val="-53"/>
          <w:sz w:val="32"/>
          <w:szCs w:val="32"/>
        </w:rPr>
        <w:t xml:space="preserve"> </w:t>
      </w:r>
      <w:r>
        <w:rPr>
          <w:rFonts w:ascii="黑体" w:hAnsi="黑体" w:eastAsia="黑体" w:cs="黑体"/>
          <w:spacing w:val="-8"/>
          <w:sz w:val="32"/>
          <w:szCs w:val="32"/>
        </w:rPr>
        <w:t>2</w:t>
      </w:r>
    </w:p>
    <w:p w14:paraId="58AB2CE5">
      <w:pPr>
        <w:spacing w:line="349" w:lineRule="auto"/>
        <w:rPr>
          <w:rFonts w:ascii="Arial"/>
          <w:sz w:val="21"/>
        </w:rPr>
      </w:pPr>
    </w:p>
    <w:p w14:paraId="130D06DD">
      <w:pPr>
        <w:spacing w:line="349" w:lineRule="auto"/>
        <w:rPr>
          <w:rFonts w:ascii="Arial"/>
          <w:sz w:val="21"/>
        </w:rPr>
      </w:pPr>
    </w:p>
    <w:p w14:paraId="0B86DEB6">
      <w:pPr>
        <w:bidi w:val="0"/>
        <w:jc w:val="center"/>
        <w:rPr>
          <w:rFonts w:hint="eastAsia" w:ascii="宋体" w:hAnsi="宋体" w:eastAsia="宋体" w:cs="宋体"/>
          <w:b/>
          <w:bCs/>
          <w:sz w:val="36"/>
          <w:szCs w:val="36"/>
        </w:rPr>
      </w:pPr>
      <w:r>
        <w:rPr>
          <w:rFonts w:hint="eastAsia" w:ascii="宋体" w:hAnsi="宋体" w:eastAsia="宋体" w:cs="宋体"/>
          <w:b/>
          <w:bCs/>
          <w:sz w:val="36"/>
          <w:szCs w:val="36"/>
        </w:rPr>
        <w:t>卧床老年人综合能力评估标准</w:t>
      </w:r>
      <w:bookmarkStart w:id="0" w:name="_GoBack"/>
      <w:bookmarkEnd w:id="0"/>
    </w:p>
    <w:p w14:paraId="716BA075">
      <w:pPr>
        <w:bidi w:val="0"/>
        <w:jc w:val="center"/>
        <w:rPr>
          <w:rFonts w:hint="eastAsia" w:ascii="宋体" w:hAnsi="宋体" w:eastAsia="宋体" w:cs="宋体"/>
          <w:b/>
          <w:bCs/>
          <w:sz w:val="36"/>
          <w:szCs w:val="36"/>
        </w:rPr>
      </w:pPr>
      <w:r>
        <w:rPr>
          <w:rFonts w:hint="eastAsia" w:ascii="宋体" w:hAnsi="宋体" w:eastAsia="宋体" w:cs="宋体"/>
          <w:b/>
          <w:bCs/>
          <w:sz w:val="36"/>
          <w:szCs w:val="36"/>
        </w:rPr>
        <w:t>团体标准编制说明</w:t>
      </w:r>
    </w:p>
    <w:p w14:paraId="50A8ECCC">
      <w:pPr>
        <w:spacing w:line="327" w:lineRule="auto"/>
        <w:rPr>
          <w:rFonts w:ascii="Arial"/>
          <w:sz w:val="21"/>
        </w:rPr>
      </w:pPr>
    </w:p>
    <w:p w14:paraId="7F22D544">
      <w:pPr>
        <w:spacing w:line="327" w:lineRule="auto"/>
        <w:rPr>
          <w:rFonts w:ascii="Arial"/>
          <w:sz w:val="21"/>
        </w:rPr>
      </w:pPr>
    </w:p>
    <w:p w14:paraId="1F5521A2">
      <w:pPr>
        <w:pStyle w:val="2"/>
        <w:spacing w:before="75" w:line="301" w:lineRule="auto"/>
        <w:ind w:left="25" w:right="11" w:firstLine="489"/>
        <w:outlineLvl w:val="1"/>
        <w:rPr>
          <w:sz w:val="23"/>
          <w:szCs w:val="23"/>
        </w:rPr>
      </w:pPr>
      <w:r>
        <w:rPr>
          <w:b/>
          <w:bCs/>
          <w:spacing w:val="6"/>
          <w:sz w:val="23"/>
          <w:szCs w:val="23"/>
        </w:rPr>
        <w:t>（一）工作简况包括任务来源与项目编号、参与协作单位、简要起草过程、</w:t>
      </w:r>
      <w:r>
        <w:rPr>
          <w:b/>
          <w:bCs/>
          <w:spacing w:val="7"/>
          <w:sz w:val="23"/>
          <w:szCs w:val="23"/>
        </w:rPr>
        <w:t>主要起草人及其所承担的工作等；</w:t>
      </w:r>
    </w:p>
    <w:p w14:paraId="01F7B312">
      <w:pPr>
        <w:pStyle w:val="2"/>
        <w:spacing w:before="186" w:line="224" w:lineRule="auto"/>
        <w:ind w:left="530"/>
        <w:outlineLvl w:val="2"/>
        <w:rPr>
          <w:sz w:val="23"/>
          <w:szCs w:val="23"/>
        </w:rPr>
      </w:pPr>
      <w:r>
        <w:rPr>
          <w:b/>
          <w:bCs/>
          <w:spacing w:val="8"/>
          <w:sz w:val="23"/>
          <w:szCs w:val="23"/>
        </w:rPr>
        <w:t>1.</w:t>
      </w:r>
      <w:r>
        <w:rPr>
          <w:spacing w:val="8"/>
          <w:sz w:val="23"/>
          <w:szCs w:val="23"/>
        </w:rPr>
        <w:t xml:space="preserve"> </w:t>
      </w:r>
      <w:r>
        <w:rPr>
          <w:b/>
          <w:bCs/>
          <w:spacing w:val="8"/>
          <w:sz w:val="23"/>
          <w:szCs w:val="23"/>
        </w:rPr>
        <w:t>任务来源与项目编号</w:t>
      </w:r>
    </w:p>
    <w:p w14:paraId="7D9C3C74">
      <w:pPr>
        <w:pStyle w:val="2"/>
        <w:spacing w:before="188" w:line="359" w:lineRule="auto"/>
        <w:ind w:left="23" w:right="85" w:firstLine="480"/>
        <w:jc w:val="both"/>
      </w:pPr>
      <w:r>
        <w:rPr>
          <w:spacing w:val="-1"/>
        </w:rPr>
        <w:t>《卧床老年人综合能力评估标准》团体标准是</w:t>
      </w:r>
      <w:r>
        <w:rPr>
          <w:spacing w:val="-37"/>
        </w:rPr>
        <w:t xml:space="preserve"> </w:t>
      </w:r>
      <w:r>
        <w:rPr>
          <w:rFonts w:ascii="Times New Roman" w:hAnsi="Times New Roman" w:eastAsia="Times New Roman" w:cs="Times New Roman"/>
          <w:spacing w:val="-1"/>
        </w:rPr>
        <w:t xml:space="preserve">2025 </w:t>
      </w:r>
      <w:r>
        <w:rPr>
          <w:spacing w:val="-1"/>
        </w:rPr>
        <w:t>年由中国民族卫生协会</w:t>
      </w:r>
      <w:r>
        <w:rPr>
          <w:spacing w:val="-3"/>
        </w:rPr>
        <w:t>提出申请，由中国民族卫生协会审核立项，由北京大学护理学院作为起草牵头单位，由中国民族卫生协会归口。</w:t>
      </w:r>
    </w:p>
    <w:p w14:paraId="7E113913">
      <w:pPr>
        <w:pStyle w:val="2"/>
        <w:spacing w:line="360" w:lineRule="auto"/>
        <w:ind w:left="26" w:firstLine="476"/>
      </w:pPr>
      <w:r>
        <w:t>任务来源：国家重点研发计划项目</w:t>
      </w:r>
      <w:r>
        <w:rPr>
          <w:rFonts w:ascii="Times New Roman" w:hAnsi="Times New Roman" w:eastAsia="Times New Roman" w:cs="Times New Roman"/>
        </w:rPr>
        <w:t>“</w:t>
      </w:r>
      <w:r>
        <w:t>长期卧床老人生</w:t>
      </w:r>
      <w:r>
        <w:rPr>
          <w:spacing w:val="-1"/>
        </w:rPr>
        <w:t>理功能维持、增健及护</w:t>
      </w:r>
      <w:r>
        <w:rPr>
          <w:spacing w:val="-3"/>
        </w:rPr>
        <w:t>理智能辅具系统研发</w:t>
      </w:r>
      <w:r>
        <w:rPr>
          <w:rFonts w:ascii="Times New Roman" w:hAnsi="Times New Roman" w:eastAsia="Times New Roman" w:cs="Times New Roman"/>
          <w:spacing w:val="-3"/>
        </w:rPr>
        <w:t>”</w:t>
      </w:r>
      <w:r>
        <w:rPr>
          <w:spacing w:val="-3"/>
        </w:rPr>
        <w:t>，课题五</w:t>
      </w:r>
      <w:r>
        <w:rPr>
          <w:rFonts w:ascii="Times New Roman" w:hAnsi="Times New Roman" w:eastAsia="Times New Roman" w:cs="Times New Roman"/>
          <w:spacing w:val="-3"/>
        </w:rPr>
        <w:t>“</w:t>
      </w:r>
      <w:r>
        <w:rPr>
          <w:spacing w:val="-3"/>
        </w:rPr>
        <w:t>网络化卧床老人康复护理系统集成与应用示范</w:t>
      </w:r>
      <w:r>
        <w:rPr>
          <w:rFonts w:ascii="Times New Roman" w:hAnsi="Times New Roman" w:eastAsia="Times New Roman" w:cs="Times New Roman"/>
          <w:spacing w:val="-3"/>
        </w:rPr>
        <w:t>”</w:t>
      </w:r>
      <w:r>
        <w:rPr>
          <w:spacing w:val="-3"/>
        </w:rPr>
        <w:t>。</w:t>
      </w:r>
    </w:p>
    <w:p w14:paraId="3D840436">
      <w:pPr>
        <w:pStyle w:val="2"/>
        <w:spacing w:line="219" w:lineRule="auto"/>
        <w:ind w:left="507"/>
        <w:rPr>
          <w:rFonts w:ascii="Times New Roman" w:hAnsi="Times New Roman" w:eastAsia="Times New Roman" w:cs="Times New Roman"/>
        </w:rPr>
      </w:pPr>
      <w:r>
        <w:rPr>
          <w:spacing w:val="-1"/>
        </w:rPr>
        <w:t>项目编号：</w:t>
      </w:r>
      <w:r>
        <w:rPr>
          <w:rFonts w:ascii="Times New Roman" w:hAnsi="Times New Roman" w:eastAsia="Times New Roman" w:cs="Times New Roman"/>
          <w:spacing w:val="-1"/>
        </w:rPr>
        <w:t>2023YFC3604300</w:t>
      </w:r>
      <w:r>
        <w:rPr>
          <w:rFonts w:ascii="Times New Roman" w:hAnsi="Times New Roman" w:eastAsia="Times New Roman" w:cs="Times New Roman"/>
          <w:spacing w:val="-31"/>
        </w:rPr>
        <w:t xml:space="preserve"> </w:t>
      </w:r>
      <w:r>
        <w:rPr>
          <w:spacing w:val="-1"/>
        </w:rPr>
        <w:t>，</w:t>
      </w:r>
      <w:r>
        <w:rPr>
          <w:rFonts w:ascii="Times New Roman" w:hAnsi="Times New Roman" w:eastAsia="Times New Roman" w:cs="Times New Roman"/>
          <w:spacing w:val="-1"/>
        </w:rPr>
        <w:t>2023</w:t>
      </w:r>
      <w:r>
        <w:rPr>
          <w:rFonts w:ascii="Times New Roman" w:hAnsi="Times New Roman" w:eastAsia="Times New Roman" w:cs="Times New Roman"/>
          <w:spacing w:val="-2"/>
        </w:rPr>
        <w:t>YFC3604305</w:t>
      </w:r>
    </w:p>
    <w:p w14:paraId="3F35A8B5">
      <w:pPr>
        <w:pStyle w:val="2"/>
        <w:spacing w:before="182" w:line="224" w:lineRule="auto"/>
        <w:ind w:left="515"/>
        <w:outlineLvl w:val="2"/>
        <w:rPr>
          <w:sz w:val="23"/>
          <w:szCs w:val="23"/>
        </w:rPr>
      </w:pPr>
      <w:r>
        <w:rPr>
          <w:b/>
          <w:bCs/>
          <w:spacing w:val="6"/>
          <w:sz w:val="23"/>
          <w:szCs w:val="23"/>
        </w:rPr>
        <w:t>2.</w:t>
      </w:r>
      <w:r>
        <w:rPr>
          <w:spacing w:val="28"/>
          <w:sz w:val="23"/>
          <w:szCs w:val="23"/>
        </w:rPr>
        <w:t xml:space="preserve"> </w:t>
      </w:r>
      <w:r>
        <w:rPr>
          <w:b/>
          <w:bCs/>
          <w:spacing w:val="6"/>
          <w:sz w:val="23"/>
          <w:szCs w:val="23"/>
        </w:rPr>
        <w:t>参与协作单位</w:t>
      </w:r>
    </w:p>
    <w:p w14:paraId="4D5EC68C">
      <w:pPr>
        <w:pStyle w:val="2"/>
        <w:spacing w:before="188" w:line="359" w:lineRule="auto"/>
        <w:ind w:left="22" w:firstLine="485"/>
        <w:jc w:val="both"/>
      </w:pPr>
      <w:r>
        <w:rPr>
          <w:spacing w:val="-3"/>
        </w:rPr>
        <w:t>天津医科大学护理学院、北京回龙观医院、湖南中</w:t>
      </w:r>
      <w:r>
        <w:rPr>
          <w:spacing w:val="-4"/>
        </w:rPr>
        <w:t>医药大学护理学院、温州</w:t>
      </w:r>
      <w:r>
        <w:rPr>
          <w:spacing w:val="-3"/>
        </w:rPr>
        <w:t>医科大学护理学院、南京医科大学护理学院、北京大学临床医学高等研究院、福建中医药大学护理学院、北京航空航天大学机械工程及自动化学院、河北工业大学机械工程学院、上海理工大学健康科学与工程学院、天津中医药大学中西医结合学院、中国康复研究中心科研处、徐州医科大学护理学院、浙江中医药大学护理学院、遵义医科大学护理学院、天津中医药大学护理学院、河北医科大学护理学院、天津市养老院、北京市四季青镇敬老院、天津市第三老年公寓、福州市鼓</w:t>
      </w:r>
      <w:r>
        <w:rPr>
          <w:spacing w:val="-7"/>
        </w:rPr>
        <w:t>楼区五福缘老人养护中心、长沙市第一社会福利院、杭州熙鸿谷雨</w:t>
      </w:r>
      <w:r>
        <w:rPr>
          <w:spacing w:val="-8"/>
        </w:rPr>
        <w:t>半山康养中心、</w:t>
      </w:r>
      <w:r>
        <w:rPr>
          <w:spacing w:val="-1"/>
        </w:rPr>
        <w:t>杭州安诺新程护理院、公平颐家老年公寓、北京老年医院</w:t>
      </w:r>
      <w:r>
        <w:rPr>
          <w:spacing w:val="-2"/>
        </w:rPr>
        <w:t>、北京市第一福利院、</w:t>
      </w:r>
      <w:r>
        <w:rPr>
          <w:spacing w:val="-3"/>
        </w:rPr>
        <w:t>青鸟颐居（晋江）养老服务有限公司、择一城颐养居、成都市颐康居健康养老服</w:t>
      </w:r>
      <w:r>
        <w:rPr>
          <w:spacing w:val="-1"/>
        </w:rPr>
        <w:t>务有限公司、河南翔宇医疗设备股份有限公司</w:t>
      </w:r>
    </w:p>
    <w:p w14:paraId="77AF57C7">
      <w:pPr>
        <w:pStyle w:val="2"/>
        <w:spacing w:line="223" w:lineRule="auto"/>
        <w:ind w:left="517"/>
        <w:outlineLvl w:val="2"/>
        <w:rPr>
          <w:sz w:val="23"/>
          <w:szCs w:val="23"/>
        </w:rPr>
      </w:pPr>
      <w:r>
        <w:rPr>
          <w:b/>
          <w:bCs/>
          <w:spacing w:val="6"/>
          <w:sz w:val="23"/>
          <w:szCs w:val="23"/>
        </w:rPr>
        <w:t>3.</w:t>
      </w:r>
      <w:r>
        <w:rPr>
          <w:spacing w:val="27"/>
          <w:sz w:val="23"/>
          <w:szCs w:val="23"/>
        </w:rPr>
        <w:t xml:space="preserve"> </w:t>
      </w:r>
      <w:r>
        <w:rPr>
          <w:b/>
          <w:bCs/>
          <w:spacing w:val="6"/>
          <w:sz w:val="23"/>
          <w:szCs w:val="23"/>
        </w:rPr>
        <w:t>简要起草过程</w:t>
      </w:r>
    </w:p>
    <w:p w14:paraId="61E9C9D3">
      <w:pPr>
        <w:pStyle w:val="2"/>
        <w:spacing w:before="187" w:line="220" w:lineRule="auto"/>
        <w:ind w:left="510"/>
      </w:pPr>
      <w:r>
        <w:rPr>
          <w:spacing w:val="-2"/>
        </w:rPr>
        <w:t>（</w:t>
      </w:r>
      <w:r>
        <w:rPr>
          <w:rFonts w:ascii="Times New Roman" w:hAnsi="Times New Roman" w:eastAsia="Times New Roman" w:cs="Times New Roman"/>
          <w:spacing w:val="-2"/>
        </w:rPr>
        <w:t>1</w:t>
      </w:r>
      <w:r>
        <w:rPr>
          <w:spacing w:val="-2"/>
        </w:rPr>
        <w:t>）起草工作筹备阶段（</w:t>
      </w:r>
      <w:r>
        <w:rPr>
          <w:rFonts w:ascii="Times New Roman" w:hAnsi="Times New Roman" w:eastAsia="Times New Roman" w:cs="Times New Roman"/>
          <w:spacing w:val="-2"/>
        </w:rPr>
        <w:t xml:space="preserve">2025 </w:t>
      </w:r>
      <w:r>
        <w:rPr>
          <w:spacing w:val="-2"/>
        </w:rPr>
        <w:t>年</w:t>
      </w:r>
      <w:r>
        <w:rPr>
          <w:spacing w:val="-51"/>
        </w:rPr>
        <w:t xml:space="preserve"> </w:t>
      </w:r>
      <w:r>
        <w:rPr>
          <w:rFonts w:ascii="Times New Roman" w:hAnsi="Times New Roman" w:eastAsia="Times New Roman" w:cs="Times New Roman"/>
          <w:spacing w:val="-2"/>
        </w:rPr>
        <w:t>2</w:t>
      </w:r>
      <w:r>
        <w:rPr>
          <w:rFonts w:ascii="Times New Roman" w:hAnsi="Times New Roman" w:eastAsia="Times New Roman" w:cs="Times New Roman"/>
          <w:spacing w:val="15"/>
          <w:w w:val="101"/>
        </w:rPr>
        <w:t xml:space="preserve"> </w:t>
      </w:r>
      <w:r>
        <w:rPr>
          <w:spacing w:val="-2"/>
        </w:rPr>
        <w:t>月）</w:t>
      </w:r>
    </w:p>
    <w:p w14:paraId="76F11302">
      <w:pPr>
        <w:pStyle w:val="2"/>
        <w:spacing w:before="185" w:line="360" w:lineRule="auto"/>
        <w:ind w:left="26" w:right="85" w:firstLine="476"/>
      </w:pPr>
      <w:r>
        <w:rPr>
          <w:spacing w:val="-3"/>
        </w:rPr>
        <w:t>在北京大学孙宏玉教授的组织下，成立了标准研制小组，明确了</w:t>
      </w:r>
      <w:r>
        <w:rPr>
          <w:spacing w:val="-4"/>
        </w:rPr>
        <w:t>小组成员的</w:t>
      </w:r>
      <w:r>
        <w:rPr>
          <w:spacing w:val="-1"/>
        </w:rPr>
        <w:t>分工与职责，为后续标准起草工作奠定了基础。</w:t>
      </w:r>
    </w:p>
    <w:p w14:paraId="2BA6D0CC">
      <w:pPr>
        <w:spacing w:line="360" w:lineRule="auto"/>
        <w:sectPr>
          <w:pgSz w:w="11905" w:h="16839"/>
          <w:pgMar w:top="1431" w:right="1712" w:bottom="0" w:left="1785" w:header="0" w:footer="0" w:gutter="0"/>
          <w:cols w:space="720" w:num="1"/>
        </w:sectPr>
      </w:pPr>
    </w:p>
    <w:p w14:paraId="0A298289">
      <w:pPr>
        <w:pStyle w:val="2"/>
        <w:spacing w:before="47" w:line="220" w:lineRule="auto"/>
        <w:ind w:left="611"/>
      </w:pPr>
      <w:r>
        <w:rPr>
          <w:spacing w:val="-3"/>
        </w:rPr>
        <w:t>（</w:t>
      </w:r>
      <w:r>
        <w:rPr>
          <w:rFonts w:ascii="Times New Roman" w:hAnsi="Times New Roman" w:eastAsia="Times New Roman" w:cs="Times New Roman"/>
          <w:spacing w:val="-3"/>
        </w:rPr>
        <w:t>2</w:t>
      </w:r>
      <w:r>
        <w:rPr>
          <w:spacing w:val="-3"/>
        </w:rPr>
        <w:t>）文献回顾阶段（</w:t>
      </w:r>
      <w:r>
        <w:rPr>
          <w:rFonts w:ascii="Times New Roman" w:hAnsi="Times New Roman" w:eastAsia="Times New Roman" w:cs="Times New Roman"/>
          <w:spacing w:val="-3"/>
        </w:rPr>
        <w:t xml:space="preserve">2025 </w:t>
      </w:r>
      <w:r>
        <w:rPr>
          <w:spacing w:val="-3"/>
        </w:rPr>
        <w:t>年</w:t>
      </w:r>
      <w:r>
        <w:rPr>
          <w:spacing w:val="-42"/>
        </w:rPr>
        <w:t xml:space="preserve"> </w:t>
      </w:r>
      <w:r>
        <w:rPr>
          <w:rFonts w:ascii="Times New Roman" w:hAnsi="Times New Roman" w:eastAsia="Times New Roman" w:cs="Times New Roman"/>
          <w:spacing w:val="-3"/>
        </w:rPr>
        <w:t>3</w:t>
      </w:r>
      <w:r>
        <w:rPr>
          <w:rFonts w:ascii="Times New Roman" w:hAnsi="Times New Roman" w:eastAsia="Times New Roman" w:cs="Times New Roman"/>
          <w:spacing w:val="15"/>
          <w:w w:val="101"/>
        </w:rPr>
        <w:t xml:space="preserve"> </w:t>
      </w:r>
      <w:r>
        <w:rPr>
          <w:spacing w:val="-3"/>
        </w:rPr>
        <w:t>月</w:t>
      </w:r>
      <w:r>
        <w:rPr>
          <w:rFonts w:ascii="Times New Roman" w:hAnsi="Times New Roman" w:eastAsia="Times New Roman" w:cs="Times New Roman"/>
          <w:spacing w:val="-3"/>
        </w:rPr>
        <w:t>-5</w:t>
      </w:r>
      <w:r>
        <w:rPr>
          <w:rFonts w:ascii="Times New Roman" w:hAnsi="Times New Roman" w:eastAsia="Times New Roman" w:cs="Times New Roman"/>
          <w:spacing w:val="15"/>
        </w:rPr>
        <w:t xml:space="preserve"> </w:t>
      </w:r>
      <w:r>
        <w:rPr>
          <w:spacing w:val="-3"/>
        </w:rPr>
        <w:t>月）</w:t>
      </w:r>
    </w:p>
    <w:p w14:paraId="42A14D83">
      <w:pPr>
        <w:pStyle w:val="2"/>
        <w:spacing w:before="180" w:line="359" w:lineRule="auto"/>
        <w:ind w:left="123" w:right="113" w:firstLine="481"/>
      </w:pPr>
      <w:r>
        <w:rPr>
          <w:spacing w:val="-3"/>
        </w:rPr>
        <w:t>标准研制小组通过系统检索国内外关于卧床老年人能力评估</w:t>
      </w:r>
      <w:r>
        <w:rPr>
          <w:spacing w:val="-4"/>
        </w:rPr>
        <w:t>、健康状态、认</w:t>
      </w:r>
      <w:r>
        <w:rPr>
          <w:spacing w:val="-3"/>
        </w:rPr>
        <w:t>知能力、运动能力、自理能力的相关文献和资料，进行文献回顾，总结目前评估工具、评估标准等；系统搜集并整理卧床老年人综合能力评估指标，涵盖生理健</w:t>
      </w:r>
      <w:r>
        <w:t>康、心理健康、社会健康、认知能力、运动能力</w:t>
      </w:r>
      <w:r>
        <w:rPr>
          <w:spacing w:val="-1"/>
        </w:rPr>
        <w:t>与自理能力六个维度。</w:t>
      </w:r>
    </w:p>
    <w:p w14:paraId="270A52C0">
      <w:pPr>
        <w:pStyle w:val="2"/>
        <w:spacing w:line="219" w:lineRule="auto"/>
        <w:ind w:left="611"/>
      </w:pPr>
      <w:r>
        <w:rPr>
          <w:spacing w:val="-3"/>
        </w:rPr>
        <w:t>（</w:t>
      </w:r>
      <w:r>
        <w:rPr>
          <w:rFonts w:ascii="Times New Roman" w:hAnsi="Times New Roman" w:eastAsia="Times New Roman" w:cs="Times New Roman"/>
          <w:spacing w:val="-3"/>
        </w:rPr>
        <w:t>3</w:t>
      </w:r>
      <w:r>
        <w:rPr>
          <w:spacing w:val="-3"/>
        </w:rPr>
        <w:t>）调研阶段（</w:t>
      </w:r>
      <w:r>
        <w:rPr>
          <w:rFonts w:ascii="Times New Roman" w:hAnsi="Times New Roman" w:eastAsia="Times New Roman" w:cs="Times New Roman"/>
          <w:spacing w:val="-3"/>
        </w:rPr>
        <w:t xml:space="preserve">2025 </w:t>
      </w:r>
      <w:r>
        <w:rPr>
          <w:spacing w:val="-3"/>
        </w:rPr>
        <w:t>年</w:t>
      </w:r>
      <w:r>
        <w:rPr>
          <w:spacing w:val="-48"/>
        </w:rPr>
        <w:t xml:space="preserve"> </w:t>
      </w:r>
      <w:r>
        <w:rPr>
          <w:rFonts w:ascii="Times New Roman" w:hAnsi="Times New Roman" w:eastAsia="Times New Roman" w:cs="Times New Roman"/>
          <w:spacing w:val="-3"/>
        </w:rPr>
        <w:t>6</w:t>
      </w:r>
      <w:r>
        <w:rPr>
          <w:rFonts w:ascii="Times New Roman" w:hAnsi="Times New Roman" w:eastAsia="Times New Roman" w:cs="Times New Roman"/>
          <w:spacing w:val="15"/>
          <w:w w:val="101"/>
        </w:rPr>
        <w:t xml:space="preserve"> </w:t>
      </w:r>
      <w:r>
        <w:rPr>
          <w:spacing w:val="-3"/>
        </w:rPr>
        <w:t>月</w:t>
      </w:r>
      <w:r>
        <w:rPr>
          <w:rFonts w:ascii="Times New Roman" w:hAnsi="Times New Roman" w:eastAsia="Times New Roman" w:cs="Times New Roman"/>
          <w:spacing w:val="-3"/>
        </w:rPr>
        <w:t>-9</w:t>
      </w:r>
      <w:r>
        <w:rPr>
          <w:rFonts w:ascii="Times New Roman" w:hAnsi="Times New Roman" w:eastAsia="Times New Roman" w:cs="Times New Roman"/>
          <w:spacing w:val="15"/>
        </w:rPr>
        <w:t xml:space="preserve"> </w:t>
      </w:r>
      <w:r>
        <w:rPr>
          <w:spacing w:val="-3"/>
        </w:rPr>
        <w:t>月）</w:t>
      </w:r>
    </w:p>
    <w:p w14:paraId="1013CA28">
      <w:pPr>
        <w:pStyle w:val="2"/>
        <w:spacing w:before="185" w:line="359" w:lineRule="auto"/>
        <w:ind w:left="123" w:right="113" w:firstLine="480"/>
      </w:pPr>
      <w:r>
        <w:rPr>
          <w:spacing w:val="-3"/>
        </w:rPr>
        <w:t>在前期文献研究基础上，形成卧床老年人综合能力评估标准，在</w:t>
      </w:r>
      <w:r>
        <w:rPr>
          <w:spacing w:val="-4"/>
        </w:rPr>
        <w:t>全国范围内选取北京、天津、福建、四川、浙江、湖南、广东等地</w:t>
      </w:r>
      <w:r>
        <w:rPr>
          <w:spacing w:val="-32"/>
        </w:rPr>
        <w:t xml:space="preserve"> </w:t>
      </w:r>
      <w:r>
        <w:rPr>
          <w:rFonts w:ascii="Times New Roman" w:hAnsi="Times New Roman" w:eastAsia="Times New Roman" w:cs="Times New Roman"/>
          <w:spacing w:val="-4"/>
        </w:rPr>
        <w:t xml:space="preserve">11 </w:t>
      </w:r>
      <w:r>
        <w:rPr>
          <w:spacing w:val="-4"/>
        </w:rPr>
        <w:t>所养老机构</w:t>
      </w:r>
      <w:r>
        <w:rPr>
          <w:spacing w:val="-32"/>
        </w:rPr>
        <w:t xml:space="preserve"> </w:t>
      </w:r>
      <w:r>
        <w:rPr>
          <w:rFonts w:ascii="Times New Roman" w:hAnsi="Times New Roman" w:eastAsia="Times New Roman" w:cs="Times New Roman"/>
          <w:spacing w:val="-4"/>
        </w:rPr>
        <w:t>100</w:t>
      </w:r>
      <w:r>
        <w:rPr>
          <w:rFonts w:ascii="Times New Roman" w:hAnsi="Times New Roman" w:eastAsia="Times New Roman" w:cs="Times New Roman"/>
          <w:spacing w:val="-5"/>
        </w:rPr>
        <w:t xml:space="preserve">0 </w:t>
      </w:r>
      <w:r>
        <w:rPr>
          <w:spacing w:val="-5"/>
        </w:rPr>
        <w:t>余位</w:t>
      </w:r>
      <w:r>
        <w:rPr>
          <w:spacing w:val="-3"/>
        </w:rPr>
        <w:t>卧床老人进行数据收集，完成卧床老年人认知能力、运动能力、自理能力评估等级划分。</w:t>
      </w:r>
    </w:p>
    <w:p w14:paraId="1782F5FA">
      <w:pPr>
        <w:pStyle w:val="2"/>
        <w:spacing w:line="219" w:lineRule="auto"/>
        <w:ind w:left="611"/>
      </w:pPr>
      <w:r>
        <w:rPr>
          <w:spacing w:val="-3"/>
        </w:rPr>
        <w:t>（</w:t>
      </w:r>
      <w:r>
        <w:rPr>
          <w:rFonts w:ascii="Times New Roman" w:hAnsi="Times New Roman" w:eastAsia="Times New Roman" w:cs="Times New Roman"/>
          <w:spacing w:val="-3"/>
        </w:rPr>
        <w:t>4</w:t>
      </w:r>
      <w:r>
        <w:rPr>
          <w:spacing w:val="-3"/>
        </w:rPr>
        <w:t>）专家论证及修改阶段（</w:t>
      </w:r>
      <w:r>
        <w:rPr>
          <w:rFonts w:ascii="Times New Roman" w:hAnsi="Times New Roman" w:eastAsia="Times New Roman" w:cs="Times New Roman"/>
          <w:spacing w:val="-3"/>
        </w:rPr>
        <w:t xml:space="preserve">2025 </w:t>
      </w:r>
      <w:r>
        <w:rPr>
          <w:spacing w:val="-3"/>
        </w:rPr>
        <w:t>年</w:t>
      </w:r>
      <w:r>
        <w:rPr>
          <w:spacing w:val="-15"/>
        </w:rPr>
        <w:t xml:space="preserve"> </w:t>
      </w:r>
      <w:r>
        <w:rPr>
          <w:rFonts w:ascii="Times New Roman" w:hAnsi="Times New Roman" w:eastAsia="Times New Roman" w:cs="Times New Roman"/>
          <w:spacing w:val="-3"/>
        </w:rPr>
        <w:t>10-12</w:t>
      </w:r>
      <w:r>
        <w:rPr>
          <w:rFonts w:ascii="Times New Roman" w:hAnsi="Times New Roman" w:eastAsia="Times New Roman" w:cs="Times New Roman"/>
          <w:spacing w:val="15"/>
          <w:w w:val="101"/>
        </w:rPr>
        <w:t xml:space="preserve"> </w:t>
      </w:r>
      <w:r>
        <w:rPr>
          <w:spacing w:val="-3"/>
        </w:rPr>
        <w:t>月）</w:t>
      </w:r>
    </w:p>
    <w:p w14:paraId="46DD1649">
      <w:pPr>
        <w:pStyle w:val="2"/>
        <w:spacing w:before="181" w:line="359" w:lineRule="auto"/>
        <w:ind w:left="126" w:right="113" w:firstLine="477"/>
      </w:pPr>
      <w:r>
        <w:rPr>
          <w:spacing w:val="-3"/>
        </w:rPr>
        <w:t>在前期文献研究和调研基础上，编制小组根据分工，形成卧床老</w:t>
      </w:r>
      <w:r>
        <w:rPr>
          <w:spacing w:val="-4"/>
        </w:rPr>
        <w:t>年人综合能</w:t>
      </w:r>
      <w:r>
        <w:rPr>
          <w:spacing w:val="-6"/>
        </w:rPr>
        <w:t>力评估标准初稿，于</w:t>
      </w:r>
      <w:r>
        <w:rPr>
          <w:spacing w:val="-51"/>
        </w:rPr>
        <w:t xml:space="preserve"> </w:t>
      </w:r>
      <w:r>
        <w:rPr>
          <w:rFonts w:ascii="Times New Roman" w:hAnsi="Times New Roman" w:eastAsia="Times New Roman" w:cs="Times New Roman"/>
          <w:spacing w:val="-6"/>
        </w:rPr>
        <w:t xml:space="preserve">2025 </w:t>
      </w:r>
      <w:r>
        <w:rPr>
          <w:spacing w:val="-6"/>
        </w:rPr>
        <w:t>年</w:t>
      </w:r>
      <w:r>
        <w:rPr>
          <w:spacing w:val="-32"/>
        </w:rPr>
        <w:t xml:space="preserve"> </w:t>
      </w:r>
      <w:r>
        <w:rPr>
          <w:rFonts w:ascii="Times New Roman" w:hAnsi="Times New Roman" w:eastAsia="Times New Roman" w:cs="Times New Roman"/>
          <w:spacing w:val="-6"/>
        </w:rPr>
        <w:t>10</w:t>
      </w:r>
      <w:r>
        <w:rPr>
          <w:rFonts w:ascii="Times New Roman" w:hAnsi="Times New Roman" w:eastAsia="Times New Roman" w:cs="Times New Roman"/>
          <w:spacing w:val="15"/>
        </w:rPr>
        <w:t xml:space="preserve"> </w:t>
      </w:r>
      <w:r>
        <w:rPr>
          <w:spacing w:val="-6"/>
        </w:rPr>
        <w:t>月</w:t>
      </w:r>
      <w:r>
        <w:rPr>
          <w:spacing w:val="-32"/>
        </w:rPr>
        <w:t xml:space="preserve"> </w:t>
      </w:r>
      <w:r>
        <w:rPr>
          <w:rFonts w:ascii="Times New Roman" w:hAnsi="Times New Roman" w:eastAsia="Times New Roman" w:cs="Times New Roman"/>
          <w:spacing w:val="-6"/>
        </w:rPr>
        <w:t xml:space="preserve">11  </w:t>
      </w:r>
      <w:r>
        <w:rPr>
          <w:spacing w:val="-6"/>
        </w:rPr>
        <w:t>日邀请</w:t>
      </w:r>
      <w:r>
        <w:rPr>
          <w:spacing w:val="-55"/>
        </w:rPr>
        <w:t xml:space="preserve"> </w:t>
      </w:r>
      <w:r>
        <w:rPr>
          <w:rFonts w:ascii="Times New Roman" w:hAnsi="Times New Roman" w:eastAsia="Times New Roman" w:cs="Times New Roman"/>
          <w:spacing w:val="-6"/>
        </w:rPr>
        <w:t xml:space="preserve">20 </w:t>
      </w:r>
      <w:r>
        <w:rPr>
          <w:spacing w:val="-6"/>
        </w:rPr>
        <w:t>位护理学、康复医学、公共卫生</w:t>
      </w:r>
      <w:r>
        <w:rPr>
          <w:spacing w:val="-3"/>
        </w:rPr>
        <w:t>等多学科专家进行专家审议，并对标准初稿提出修改建议。编制小组根据专</w:t>
      </w:r>
      <w:r>
        <w:rPr>
          <w:spacing w:val="-4"/>
        </w:rPr>
        <w:t>家组</w:t>
      </w:r>
      <w:r>
        <w:t>成员的意见建议，经反复沟通进一步完善标</w:t>
      </w:r>
      <w:r>
        <w:rPr>
          <w:spacing w:val="-1"/>
        </w:rPr>
        <w:t>准文本，形成工作组讨论稿。</w:t>
      </w:r>
    </w:p>
    <w:p w14:paraId="2D1F4CA4">
      <w:pPr>
        <w:pStyle w:val="2"/>
        <w:spacing w:before="1" w:line="219" w:lineRule="auto"/>
        <w:ind w:left="611"/>
      </w:pPr>
      <w:r>
        <w:rPr>
          <w:spacing w:val="-3"/>
        </w:rPr>
        <w:t>（</w:t>
      </w:r>
      <w:r>
        <w:rPr>
          <w:rFonts w:ascii="Times New Roman" w:hAnsi="Times New Roman" w:eastAsia="Times New Roman" w:cs="Times New Roman"/>
          <w:spacing w:val="-3"/>
        </w:rPr>
        <w:t>5</w:t>
      </w:r>
      <w:r>
        <w:rPr>
          <w:spacing w:val="-3"/>
        </w:rPr>
        <w:t>）提交征求意见阶段（</w:t>
      </w:r>
      <w:r>
        <w:rPr>
          <w:rFonts w:ascii="Times New Roman" w:hAnsi="Times New Roman" w:eastAsia="Times New Roman" w:cs="Times New Roman"/>
          <w:spacing w:val="-3"/>
        </w:rPr>
        <w:t xml:space="preserve">2026 </w:t>
      </w:r>
      <w:r>
        <w:rPr>
          <w:spacing w:val="-3"/>
        </w:rPr>
        <w:t>年</w:t>
      </w:r>
      <w:r>
        <w:rPr>
          <w:spacing w:val="-30"/>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15"/>
          <w:w w:val="101"/>
        </w:rPr>
        <w:t xml:space="preserve"> </w:t>
      </w:r>
      <w:r>
        <w:rPr>
          <w:spacing w:val="-3"/>
        </w:rPr>
        <w:t>月）</w:t>
      </w:r>
    </w:p>
    <w:p w14:paraId="1E80E954">
      <w:pPr>
        <w:pStyle w:val="2"/>
        <w:spacing w:before="180" w:line="360" w:lineRule="auto"/>
        <w:ind w:left="151" w:right="72" w:firstLine="450"/>
      </w:pPr>
      <w:r>
        <w:rPr>
          <w:spacing w:val="-2"/>
        </w:rPr>
        <w:t>将标准征求意见稿及相关材料提交中国民族卫生协会，进行广泛征求意见，</w:t>
      </w:r>
      <w:r>
        <w:rPr>
          <w:spacing w:val="-5"/>
        </w:rPr>
        <w:t>以进一步审核完善。</w:t>
      </w:r>
    </w:p>
    <w:p w14:paraId="567BF508">
      <w:pPr>
        <w:pStyle w:val="2"/>
        <w:spacing w:before="1" w:line="223" w:lineRule="auto"/>
        <w:ind w:left="612"/>
        <w:outlineLvl w:val="2"/>
        <w:rPr>
          <w:sz w:val="23"/>
          <w:szCs w:val="23"/>
        </w:rPr>
      </w:pPr>
      <w:r>
        <w:rPr>
          <w:b/>
          <w:bCs/>
          <w:spacing w:val="10"/>
          <w:sz w:val="23"/>
          <w:szCs w:val="23"/>
        </w:rPr>
        <w:t>4.</w:t>
      </w:r>
      <w:r>
        <w:rPr>
          <w:spacing w:val="10"/>
          <w:sz w:val="23"/>
          <w:szCs w:val="23"/>
        </w:rPr>
        <w:t xml:space="preserve"> </w:t>
      </w:r>
      <w:r>
        <w:rPr>
          <w:b/>
          <w:bCs/>
          <w:spacing w:val="10"/>
          <w:sz w:val="23"/>
          <w:szCs w:val="23"/>
        </w:rPr>
        <w:t>主要起草人及其所承担的工作</w:t>
      </w:r>
    </w:p>
    <w:p w14:paraId="05F9EEF4">
      <w:pPr>
        <w:pStyle w:val="2"/>
        <w:spacing w:before="187" w:line="360" w:lineRule="auto"/>
        <w:ind w:left="124" w:right="113" w:firstLine="483"/>
      </w:pPr>
      <w:r>
        <w:rPr>
          <w:spacing w:val="-3"/>
        </w:rPr>
        <w:t>北京大学护理学院联合各参与协作单位成立了标准起</w:t>
      </w:r>
      <w:r>
        <w:rPr>
          <w:spacing w:val="-4"/>
        </w:rPr>
        <w:t>草组。主要起草人及其</w:t>
      </w:r>
      <w:r>
        <w:rPr>
          <w:spacing w:val="-6"/>
        </w:rPr>
        <w:t>所承担的工作如表</w:t>
      </w:r>
      <w:r>
        <w:rPr>
          <w:spacing w:val="-28"/>
        </w:rPr>
        <w:t xml:space="preserve"> </w:t>
      </w:r>
      <w:r>
        <w:rPr>
          <w:spacing w:val="-6"/>
        </w:rPr>
        <w:t>1</w:t>
      </w:r>
      <w:r>
        <w:rPr>
          <w:spacing w:val="-51"/>
        </w:rPr>
        <w:t xml:space="preserve"> </w:t>
      </w:r>
      <w:r>
        <w:rPr>
          <w:spacing w:val="-6"/>
        </w:rPr>
        <w:t>所示。</w:t>
      </w:r>
    </w:p>
    <w:p w14:paraId="5395C2C4">
      <w:pPr>
        <w:pStyle w:val="2"/>
        <w:spacing w:before="1" w:line="223" w:lineRule="auto"/>
        <w:ind w:left="2532"/>
        <w:outlineLvl w:val="0"/>
        <w:rPr>
          <w:sz w:val="23"/>
          <w:szCs w:val="23"/>
        </w:rPr>
      </w:pPr>
      <w:r>
        <w:rPr>
          <w:b/>
          <w:bCs/>
          <w:spacing w:val="8"/>
          <w:sz w:val="23"/>
          <w:szCs w:val="23"/>
        </w:rPr>
        <w:t>表</w:t>
      </w:r>
      <w:r>
        <w:rPr>
          <w:spacing w:val="-14"/>
          <w:sz w:val="23"/>
          <w:szCs w:val="23"/>
        </w:rPr>
        <w:t xml:space="preserve"> </w:t>
      </w:r>
      <w:r>
        <w:rPr>
          <w:b/>
          <w:bCs/>
          <w:spacing w:val="8"/>
          <w:sz w:val="23"/>
          <w:szCs w:val="23"/>
        </w:rPr>
        <w:t>1</w:t>
      </w:r>
      <w:r>
        <w:rPr>
          <w:spacing w:val="8"/>
          <w:sz w:val="23"/>
          <w:szCs w:val="23"/>
        </w:rPr>
        <w:t xml:space="preserve"> </w:t>
      </w:r>
      <w:r>
        <w:rPr>
          <w:b/>
          <w:bCs/>
          <w:spacing w:val="8"/>
          <w:sz w:val="23"/>
          <w:szCs w:val="23"/>
        </w:rPr>
        <w:t>主要起草人员及承担的工作</w:t>
      </w:r>
    </w:p>
    <w:p w14:paraId="7B6C9265">
      <w:pPr>
        <w:spacing w:line="148" w:lineRule="exact"/>
      </w:pPr>
    </w:p>
    <w:tbl>
      <w:tblPr>
        <w:tblStyle w:val="5"/>
        <w:tblW w:w="85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3401"/>
        <w:gridCol w:w="1415"/>
        <w:gridCol w:w="2749"/>
      </w:tblGrid>
      <w:tr w14:paraId="4BC49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964" w:type="dxa"/>
            <w:vAlign w:val="top"/>
          </w:tcPr>
          <w:p w14:paraId="48D59CC7">
            <w:pPr>
              <w:pStyle w:val="6"/>
              <w:spacing w:before="120" w:line="222" w:lineRule="auto"/>
              <w:ind w:left="246"/>
              <w:rPr>
                <w:sz w:val="23"/>
                <w:szCs w:val="23"/>
              </w:rPr>
            </w:pPr>
            <w:r>
              <w:rPr>
                <w:b/>
                <w:bCs/>
                <w:spacing w:val="5"/>
                <w:sz w:val="23"/>
                <w:szCs w:val="23"/>
              </w:rPr>
              <w:t>姓名</w:t>
            </w:r>
          </w:p>
        </w:tc>
        <w:tc>
          <w:tcPr>
            <w:tcW w:w="3401" w:type="dxa"/>
            <w:vAlign w:val="top"/>
          </w:tcPr>
          <w:p w14:paraId="23275B19">
            <w:pPr>
              <w:pStyle w:val="6"/>
              <w:spacing w:before="120" w:line="222" w:lineRule="auto"/>
              <w:ind w:left="1465"/>
              <w:rPr>
                <w:sz w:val="23"/>
                <w:szCs w:val="23"/>
              </w:rPr>
            </w:pPr>
            <w:r>
              <w:rPr>
                <w:b/>
                <w:bCs/>
                <w:spacing w:val="4"/>
                <w:sz w:val="23"/>
                <w:szCs w:val="23"/>
              </w:rPr>
              <w:t>单位</w:t>
            </w:r>
          </w:p>
        </w:tc>
        <w:tc>
          <w:tcPr>
            <w:tcW w:w="1415" w:type="dxa"/>
            <w:vAlign w:val="top"/>
          </w:tcPr>
          <w:p w14:paraId="65ADB5F9">
            <w:pPr>
              <w:pStyle w:val="6"/>
              <w:spacing w:before="120" w:line="222" w:lineRule="auto"/>
              <w:ind w:left="474"/>
              <w:rPr>
                <w:sz w:val="23"/>
                <w:szCs w:val="23"/>
              </w:rPr>
            </w:pPr>
            <w:r>
              <w:rPr>
                <w:b/>
                <w:bCs/>
                <w:spacing w:val="4"/>
                <w:sz w:val="23"/>
                <w:szCs w:val="23"/>
              </w:rPr>
              <w:t>职称</w:t>
            </w:r>
          </w:p>
        </w:tc>
        <w:tc>
          <w:tcPr>
            <w:tcW w:w="2749" w:type="dxa"/>
            <w:vAlign w:val="top"/>
          </w:tcPr>
          <w:p w14:paraId="6CFD8B94">
            <w:pPr>
              <w:pStyle w:val="6"/>
              <w:spacing w:before="120" w:line="222" w:lineRule="auto"/>
              <w:ind w:left="771"/>
              <w:rPr>
                <w:sz w:val="23"/>
                <w:szCs w:val="23"/>
              </w:rPr>
            </w:pPr>
            <w:r>
              <w:rPr>
                <w:b/>
                <w:bCs/>
                <w:spacing w:val="9"/>
                <w:sz w:val="23"/>
                <w:szCs w:val="23"/>
              </w:rPr>
              <w:t>承担的工作</w:t>
            </w:r>
          </w:p>
        </w:tc>
      </w:tr>
      <w:tr w14:paraId="65137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964" w:type="dxa"/>
            <w:vAlign w:val="top"/>
          </w:tcPr>
          <w:p w14:paraId="3EB84438">
            <w:pPr>
              <w:pStyle w:val="6"/>
              <w:spacing w:before="82" w:line="209" w:lineRule="auto"/>
              <w:ind w:left="132"/>
            </w:pPr>
            <w:r>
              <w:rPr>
                <w:spacing w:val="-3"/>
              </w:rPr>
              <w:t>孙宏玉</w:t>
            </w:r>
          </w:p>
        </w:tc>
        <w:tc>
          <w:tcPr>
            <w:tcW w:w="3401" w:type="dxa"/>
            <w:vAlign w:val="top"/>
          </w:tcPr>
          <w:p w14:paraId="6B702234">
            <w:pPr>
              <w:pStyle w:val="6"/>
              <w:spacing w:before="82" w:line="209" w:lineRule="auto"/>
              <w:ind w:left="752"/>
            </w:pPr>
            <w:r>
              <w:rPr>
                <w:spacing w:val="-2"/>
              </w:rPr>
              <w:t>北京大学护理学院</w:t>
            </w:r>
          </w:p>
        </w:tc>
        <w:tc>
          <w:tcPr>
            <w:tcW w:w="1415" w:type="dxa"/>
            <w:vAlign w:val="top"/>
          </w:tcPr>
          <w:p w14:paraId="40E5D214">
            <w:pPr>
              <w:pStyle w:val="6"/>
              <w:spacing w:before="82" w:line="209" w:lineRule="auto"/>
              <w:ind w:left="481"/>
            </w:pPr>
            <w:r>
              <w:rPr>
                <w:spacing w:val="-4"/>
              </w:rPr>
              <w:t>教授</w:t>
            </w:r>
          </w:p>
        </w:tc>
        <w:tc>
          <w:tcPr>
            <w:tcW w:w="2749" w:type="dxa"/>
            <w:vAlign w:val="top"/>
          </w:tcPr>
          <w:p w14:paraId="2D65FCB2">
            <w:pPr>
              <w:pStyle w:val="6"/>
              <w:spacing w:before="82" w:line="209" w:lineRule="auto"/>
              <w:ind w:left="186"/>
            </w:pPr>
            <w:r>
              <w:rPr>
                <w:spacing w:val="-2"/>
              </w:rPr>
              <w:t>项目设计、组织与实施</w:t>
            </w:r>
          </w:p>
        </w:tc>
      </w:tr>
      <w:tr w14:paraId="37C19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64" w:type="dxa"/>
            <w:vAlign w:val="top"/>
          </w:tcPr>
          <w:p w14:paraId="22F2ABCC">
            <w:pPr>
              <w:pStyle w:val="6"/>
              <w:spacing w:before="264" w:line="220" w:lineRule="auto"/>
              <w:ind w:left="132"/>
            </w:pPr>
            <w:r>
              <w:rPr>
                <w:spacing w:val="-4"/>
              </w:rPr>
              <w:t>孙玉梅</w:t>
            </w:r>
          </w:p>
        </w:tc>
        <w:tc>
          <w:tcPr>
            <w:tcW w:w="3401" w:type="dxa"/>
            <w:vAlign w:val="top"/>
          </w:tcPr>
          <w:p w14:paraId="245AF62F">
            <w:pPr>
              <w:pStyle w:val="6"/>
              <w:spacing w:before="264" w:line="220" w:lineRule="auto"/>
              <w:ind w:left="752"/>
            </w:pPr>
            <w:r>
              <w:rPr>
                <w:spacing w:val="-2"/>
              </w:rPr>
              <w:t>北京大学护理学院</w:t>
            </w:r>
          </w:p>
        </w:tc>
        <w:tc>
          <w:tcPr>
            <w:tcW w:w="1415" w:type="dxa"/>
            <w:vAlign w:val="top"/>
          </w:tcPr>
          <w:p w14:paraId="58FC6ED7">
            <w:pPr>
              <w:pStyle w:val="6"/>
              <w:spacing w:before="264" w:line="220" w:lineRule="auto"/>
              <w:ind w:left="481"/>
            </w:pPr>
            <w:r>
              <w:rPr>
                <w:spacing w:val="-4"/>
              </w:rPr>
              <w:t>教授</w:t>
            </w:r>
          </w:p>
        </w:tc>
        <w:tc>
          <w:tcPr>
            <w:tcW w:w="2749" w:type="dxa"/>
            <w:vAlign w:val="top"/>
          </w:tcPr>
          <w:p w14:paraId="02E08FD9">
            <w:pPr>
              <w:pStyle w:val="6"/>
              <w:spacing w:before="83" w:line="242" w:lineRule="auto"/>
              <w:ind w:left="801" w:right="106" w:hanging="679"/>
            </w:pPr>
            <w:r>
              <w:rPr>
                <w:spacing w:val="-12"/>
              </w:rPr>
              <w:t>项目设计、确定评估标准</w:t>
            </w:r>
            <w:r>
              <w:rPr>
                <w:spacing w:val="-6"/>
              </w:rPr>
              <w:t>的整体框架</w:t>
            </w:r>
          </w:p>
        </w:tc>
      </w:tr>
      <w:tr w14:paraId="25B59C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64" w:type="dxa"/>
            <w:vAlign w:val="top"/>
          </w:tcPr>
          <w:p w14:paraId="103341B5">
            <w:pPr>
              <w:pStyle w:val="6"/>
              <w:spacing w:before="267" w:line="220" w:lineRule="auto"/>
              <w:ind w:left="132"/>
            </w:pPr>
            <w:r>
              <w:rPr>
                <w:spacing w:val="-3"/>
              </w:rPr>
              <w:t>罗如珍</w:t>
            </w:r>
          </w:p>
        </w:tc>
        <w:tc>
          <w:tcPr>
            <w:tcW w:w="3401" w:type="dxa"/>
            <w:vAlign w:val="top"/>
          </w:tcPr>
          <w:p w14:paraId="3F376BBE">
            <w:pPr>
              <w:pStyle w:val="6"/>
              <w:spacing w:before="266" w:line="219" w:lineRule="auto"/>
              <w:ind w:left="513"/>
            </w:pPr>
            <w:r>
              <w:rPr>
                <w:spacing w:val="-2"/>
              </w:rPr>
              <w:t>天津医科大学护理学院</w:t>
            </w:r>
          </w:p>
        </w:tc>
        <w:tc>
          <w:tcPr>
            <w:tcW w:w="1415" w:type="dxa"/>
            <w:vAlign w:val="top"/>
          </w:tcPr>
          <w:p w14:paraId="1BB35380">
            <w:pPr>
              <w:pStyle w:val="6"/>
              <w:spacing w:before="266" w:line="220" w:lineRule="auto"/>
              <w:ind w:left="478"/>
            </w:pPr>
            <w:r>
              <w:rPr>
                <w:spacing w:val="-3"/>
              </w:rPr>
              <w:t>讲师</w:t>
            </w:r>
          </w:p>
        </w:tc>
        <w:tc>
          <w:tcPr>
            <w:tcW w:w="2749" w:type="dxa"/>
            <w:vAlign w:val="top"/>
          </w:tcPr>
          <w:p w14:paraId="1905B270">
            <w:pPr>
              <w:pStyle w:val="6"/>
              <w:spacing w:before="88" w:line="242" w:lineRule="auto"/>
              <w:ind w:left="783" w:right="170" w:hanging="591"/>
            </w:pPr>
            <w:r>
              <w:rPr>
                <w:spacing w:val="-2"/>
              </w:rPr>
              <w:t>负责自理能力评估内容</w:t>
            </w:r>
            <w:r>
              <w:rPr>
                <w:spacing w:val="-3"/>
              </w:rPr>
              <w:t>和分级标准</w:t>
            </w:r>
          </w:p>
        </w:tc>
      </w:tr>
      <w:tr w14:paraId="66D74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964" w:type="dxa"/>
            <w:vAlign w:val="top"/>
          </w:tcPr>
          <w:p w14:paraId="7E050101">
            <w:pPr>
              <w:pStyle w:val="6"/>
              <w:spacing w:before="263" w:line="219" w:lineRule="auto"/>
              <w:ind w:left="251"/>
            </w:pPr>
            <w:r>
              <w:rPr>
                <w:spacing w:val="-3"/>
              </w:rPr>
              <w:t>邵静</w:t>
            </w:r>
          </w:p>
        </w:tc>
        <w:tc>
          <w:tcPr>
            <w:tcW w:w="3401" w:type="dxa"/>
            <w:vAlign w:val="top"/>
          </w:tcPr>
          <w:p w14:paraId="30023F07">
            <w:pPr>
              <w:pStyle w:val="6"/>
              <w:spacing w:before="263" w:line="220" w:lineRule="auto"/>
              <w:ind w:left="872"/>
            </w:pPr>
            <w:r>
              <w:rPr>
                <w:spacing w:val="-2"/>
              </w:rPr>
              <w:t>北京回龙观医院</w:t>
            </w:r>
          </w:p>
        </w:tc>
        <w:tc>
          <w:tcPr>
            <w:tcW w:w="1415" w:type="dxa"/>
            <w:vAlign w:val="top"/>
          </w:tcPr>
          <w:p w14:paraId="72E9B374">
            <w:pPr>
              <w:pStyle w:val="6"/>
              <w:spacing w:before="263" w:line="220" w:lineRule="auto"/>
              <w:ind w:left="240"/>
            </w:pPr>
            <w:r>
              <w:rPr>
                <w:spacing w:val="-3"/>
              </w:rPr>
              <w:t>主任护师</w:t>
            </w:r>
          </w:p>
        </w:tc>
        <w:tc>
          <w:tcPr>
            <w:tcW w:w="2749" w:type="dxa"/>
            <w:vAlign w:val="top"/>
          </w:tcPr>
          <w:p w14:paraId="7CCA97D3">
            <w:pPr>
              <w:pStyle w:val="6"/>
              <w:spacing w:before="84" w:line="242" w:lineRule="auto"/>
              <w:ind w:left="783" w:right="170" w:hanging="591"/>
            </w:pPr>
            <w:r>
              <w:rPr>
                <w:spacing w:val="-2"/>
              </w:rPr>
              <w:t>负责认知能力评估内容</w:t>
            </w:r>
            <w:r>
              <w:rPr>
                <w:spacing w:val="-3"/>
              </w:rPr>
              <w:t>和分级标准</w:t>
            </w:r>
          </w:p>
        </w:tc>
      </w:tr>
      <w:tr w14:paraId="126EC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964" w:type="dxa"/>
            <w:vAlign w:val="top"/>
          </w:tcPr>
          <w:p w14:paraId="25C0BED9">
            <w:pPr>
              <w:pStyle w:val="6"/>
              <w:spacing w:before="85" w:line="210" w:lineRule="auto"/>
              <w:ind w:left="132"/>
            </w:pPr>
            <w:r>
              <w:rPr>
                <w:spacing w:val="-3"/>
              </w:rPr>
              <w:t>彭丽丽</w:t>
            </w:r>
          </w:p>
        </w:tc>
        <w:tc>
          <w:tcPr>
            <w:tcW w:w="3401" w:type="dxa"/>
            <w:vAlign w:val="top"/>
          </w:tcPr>
          <w:p w14:paraId="7268F31E">
            <w:pPr>
              <w:pStyle w:val="6"/>
              <w:spacing w:before="85" w:line="210" w:lineRule="auto"/>
              <w:ind w:left="387"/>
            </w:pPr>
            <w:r>
              <w:rPr>
                <w:spacing w:val="-1"/>
              </w:rPr>
              <w:t>湖南中医药大学护理学院</w:t>
            </w:r>
          </w:p>
        </w:tc>
        <w:tc>
          <w:tcPr>
            <w:tcW w:w="1415" w:type="dxa"/>
            <w:vAlign w:val="top"/>
          </w:tcPr>
          <w:p w14:paraId="723D09D4">
            <w:pPr>
              <w:pStyle w:val="6"/>
              <w:spacing w:before="85" w:line="210" w:lineRule="auto"/>
              <w:ind w:left="363"/>
            </w:pPr>
            <w:r>
              <w:rPr>
                <w:spacing w:val="-5"/>
              </w:rPr>
              <w:t>副教授</w:t>
            </w:r>
          </w:p>
        </w:tc>
        <w:tc>
          <w:tcPr>
            <w:tcW w:w="2749" w:type="dxa"/>
            <w:vAlign w:val="top"/>
          </w:tcPr>
          <w:p w14:paraId="346CF2C6">
            <w:pPr>
              <w:pStyle w:val="6"/>
              <w:spacing w:before="85" w:line="210" w:lineRule="auto"/>
              <w:ind w:left="122"/>
            </w:pPr>
            <w:r>
              <w:rPr>
                <w:spacing w:val="-12"/>
              </w:rPr>
              <w:t>设计研究方案，数据收集</w:t>
            </w:r>
          </w:p>
        </w:tc>
      </w:tr>
    </w:tbl>
    <w:p w14:paraId="05075449">
      <w:pPr>
        <w:rPr>
          <w:rFonts w:ascii="Arial"/>
          <w:sz w:val="21"/>
        </w:rPr>
      </w:pPr>
    </w:p>
    <w:p w14:paraId="3EF4EC4D">
      <w:pPr>
        <w:rPr>
          <w:rFonts w:ascii="Arial" w:hAnsi="Arial" w:eastAsia="Arial" w:cs="Arial"/>
          <w:sz w:val="21"/>
          <w:szCs w:val="21"/>
        </w:rPr>
        <w:sectPr>
          <w:pgSz w:w="11905" w:h="16839"/>
          <w:pgMar w:top="1430" w:right="1684" w:bottom="0" w:left="1684" w:header="0" w:footer="0" w:gutter="0"/>
          <w:cols w:space="720" w:num="1"/>
        </w:sectPr>
      </w:pPr>
    </w:p>
    <w:p w14:paraId="78EBD3BD">
      <w:pPr>
        <w:spacing w:line="91" w:lineRule="auto"/>
        <w:rPr>
          <w:rFonts w:ascii="Arial"/>
          <w:sz w:val="2"/>
        </w:rPr>
      </w:pPr>
    </w:p>
    <w:tbl>
      <w:tblPr>
        <w:tblStyle w:val="5"/>
        <w:tblW w:w="85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3401"/>
        <w:gridCol w:w="1415"/>
        <w:gridCol w:w="2749"/>
      </w:tblGrid>
      <w:tr w14:paraId="67CFC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964" w:type="dxa"/>
            <w:vAlign w:val="top"/>
          </w:tcPr>
          <w:p w14:paraId="36128251">
            <w:pPr>
              <w:pStyle w:val="6"/>
              <w:spacing w:before="86" w:line="210" w:lineRule="auto"/>
              <w:ind w:left="264"/>
            </w:pPr>
            <w:r>
              <w:rPr>
                <w:spacing w:val="-6"/>
              </w:rPr>
              <w:t>费琤</w:t>
            </w:r>
          </w:p>
        </w:tc>
        <w:tc>
          <w:tcPr>
            <w:tcW w:w="3401" w:type="dxa"/>
            <w:vAlign w:val="top"/>
          </w:tcPr>
          <w:p w14:paraId="57F3441C">
            <w:pPr>
              <w:pStyle w:val="6"/>
              <w:spacing w:before="86" w:line="210" w:lineRule="auto"/>
              <w:ind w:left="872"/>
            </w:pPr>
            <w:r>
              <w:rPr>
                <w:spacing w:val="-2"/>
              </w:rPr>
              <w:t>北京回龙观医院</w:t>
            </w:r>
          </w:p>
        </w:tc>
        <w:tc>
          <w:tcPr>
            <w:tcW w:w="1415" w:type="dxa"/>
            <w:vAlign w:val="top"/>
          </w:tcPr>
          <w:p w14:paraId="3B2FD265">
            <w:pPr>
              <w:pStyle w:val="6"/>
              <w:spacing w:before="86" w:line="210" w:lineRule="auto"/>
              <w:ind w:left="240"/>
            </w:pPr>
            <w:r>
              <w:rPr>
                <w:spacing w:val="-3"/>
              </w:rPr>
              <w:t>主管护师</w:t>
            </w:r>
          </w:p>
        </w:tc>
        <w:tc>
          <w:tcPr>
            <w:tcW w:w="2749" w:type="dxa"/>
            <w:vAlign w:val="top"/>
          </w:tcPr>
          <w:p w14:paraId="03513957">
            <w:pPr>
              <w:pStyle w:val="6"/>
              <w:spacing w:before="86" w:line="210" w:lineRule="auto"/>
              <w:ind w:left="118"/>
            </w:pPr>
            <w:r>
              <w:rPr>
                <w:spacing w:val="-12"/>
              </w:rPr>
              <w:t>研究方案实施，数据收集</w:t>
            </w:r>
          </w:p>
        </w:tc>
      </w:tr>
      <w:tr w14:paraId="75140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64" w:type="dxa"/>
            <w:vAlign w:val="top"/>
          </w:tcPr>
          <w:p w14:paraId="1BEC55BD">
            <w:pPr>
              <w:pStyle w:val="6"/>
              <w:spacing w:before="263" w:line="220" w:lineRule="auto"/>
              <w:ind w:left="132"/>
            </w:pPr>
            <w:r>
              <w:rPr>
                <w:spacing w:val="-3"/>
              </w:rPr>
              <w:t>李婉婷</w:t>
            </w:r>
          </w:p>
        </w:tc>
        <w:tc>
          <w:tcPr>
            <w:tcW w:w="3401" w:type="dxa"/>
            <w:vAlign w:val="top"/>
          </w:tcPr>
          <w:p w14:paraId="4DB7AFE9">
            <w:pPr>
              <w:pStyle w:val="6"/>
              <w:spacing w:before="263" w:line="220" w:lineRule="auto"/>
              <w:ind w:left="872"/>
            </w:pPr>
            <w:r>
              <w:rPr>
                <w:spacing w:val="-2"/>
              </w:rPr>
              <w:t>北京回龙观医院</w:t>
            </w:r>
          </w:p>
        </w:tc>
        <w:tc>
          <w:tcPr>
            <w:tcW w:w="1415" w:type="dxa"/>
            <w:vAlign w:val="top"/>
          </w:tcPr>
          <w:p w14:paraId="060DA782">
            <w:pPr>
              <w:pStyle w:val="6"/>
              <w:spacing w:before="263" w:line="220" w:lineRule="auto"/>
              <w:ind w:left="240"/>
            </w:pPr>
            <w:r>
              <w:rPr>
                <w:spacing w:val="-3"/>
              </w:rPr>
              <w:t>主管护师</w:t>
            </w:r>
          </w:p>
        </w:tc>
        <w:tc>
          <w:tcPr>
            <w:tcW w:w="2749" w:type="dxa"/>
            <w:vAlign w:val="top"/>
          </w:tcPr>
          <w:p w14:paraId="760DC2A7">
            <w:pPr>
              <w:pStyle w:val="6"/>
              <w:spacing w:before="81" w:line="243" w:lineRule="auto"/>
              <w:ind w:left="783" w:right="170" w:hanging="591"/>
            </w:pPr>
            <w:r>
              <w:rPr>
                <w:spacing w:val="-2"/>
              </w:rPr>
              <w:t>负责运动能力评估内容</w:t>
            </w:r>
            <w:r>
              <w:rPr>
                <w:spacing w:val="-3"/>
              </w:rPr>
              <w:t>和分级标准</w:t>
            </w:r>
          </w:p>
        </w:tc>
      </w:tr>
      <w:tr w14:paraId="1AA45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964" w:type="dxa"/>
            <w:vAlign w:val="top"/>
          </w:tcPr>
          <w:p w14:paraId="7D2CED70">
            <w:pPr>
              <w:pStyle w:val="6"/>
              <w:spacing w:before="83" w:line="208" w:lineRule="auto"/>
              <w:ind w:left="132"/>
            </w:pPr>
            <w:r>
              <w:rPr>
                <w:spacing w:val="-3"/>
              </w:rPr>
              <w:t>董超群</w:t>
            </w:r>
          </w:p>
        </w:tc>
        <w:tc>
          <w:tcPr>
            <w:tcW w:w="3401" w:type="dxa"/>
            <w:vAlign w:val="top"/>
          </w:tcPr>
          <w:p w14:paraId="21D09E0F">
            <w:pPr>
              <w:pStyle w:val="6"/>
              <w:spacing w:before="83" w:line="208" w:lineRule="auto"/>
              <w:ind w:left="510"/>
            </w:pPr>
            <w:r>
              <w:rPr>
                <w:spacing w:val="-2"/>
              </w:rPr>
              <w:t>温州医科大学护理学院</w:t>
            </w:r>
          </w:p>
        </w:tc>
        <w:tc>
          <w:tcPr>
            <w:tcW w:w="1415" w:type="dxa"/>
            <w:vAlign w:val="top"/>
          </w:tcPr>
          <w:p w14:paraId="6B41FD6E">
            <w:pPr>
              <w:pStyle w:val="6"/>
              <w:spacing w:before="83" w:line="208" w:lineRule="auto"/>
              <w:ind w:left="481"/>
            </w:pPr>
            <w:r>
              <w:rPr>
                <w:spacing w:val="-4"/>
              </w:rPr>
              <w:t>教授</w:t>
            </w:r>
          </w:p>
        </w:tc>
        <w:tc>
          <w:tcPr>
            <w:tcW w:w="2749" w:type="dxa"/>
            <w:vAlign w:val="top"/>
          </w:tcPr>
          <w:p w14:paraId="0AEB37CA">
            <w:pPr>
              <w:pStyle w:val="6"/>
              <w:spacing w:before="83" w:line="208" w:lineRule="auto"/>
              <w:ind w:left="306"/>
            </w:pPr>
            <w:r>
              <w:rPr>
                <w:spacing w:val="-2"/>
              </w:rPr>
              <w:t>项目设计、专家咨询</w:t>
            </w:r>
          </w:p>
        </w:tc>
      </w:tr>
      <w:tr w14:paraId="415EAA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964" w:type="dxa"/>
            <w:vAlign w:val="top"/>
          </w:tcPr>
          <w:p w14:paraId="12755AC1">
            <w:pPr>
              <w:pStyle w:val="6"/>
              <w:spacing w:before="83" w:line="208" w:lineRule="auto"/>
              <w:ind w:left="251"/>
            </w:pPr>
            <w:r>
              <w:rPr>
                <w:spacing w:val="-3"/>
              </w:rPr>
              <w:t>嵇艳</w:t>
            </w:r>
          </w:p>
        </w:tc>
        <w:tc>
          <w:tcPr>
            <w:tcW w:w="3401" w:type="dxa"/>
            <w:vAlign w:val="top"/>
          </w:tcPr>
          <w:p w14:paraId="2E368237">
            <w:pPr>
              <w:pStyle w:val="6"/>
              <w:spacing w:before="83" w:line="208" w:lineRule="auto"/>
              <w:ind w:left="511"/>
            </w:pPr>
            <w:r>
              <w:rPr>
                <w:spacing w:val="-2"/>
              </w:rPr>
              <w:t>南京医科大学护理学院</w:t>
            </w:r>
          </w:p>
        </w:tc>
        <w:tc>
          <w:tcPr>
            <w:tcW w:w="1415" w:type="dxa"/>
            <w:vAlign w:val="top"/>
          </w:tcPr>
          <w:p w14:paraId="4AB06F6F">
            <w:pPr>
              <w:pStyle w:val="6"/>
              <w:spacing w:before="83" w:line="208" w:lineRule="auto"/>
              <w:ind w:left="481"/>
            </w:pPr>
            <w:r>
              <w:rPr>
                <w:spacing w:val="-4"/>
              </w:rPr>
              <w:t>教授</w:t>
            </w:r>
          </w:p>
        </w:tc>
        <w:tc>
          <w:tcPr>
            <w:tcW w:w="2749" w:type="dxa"/>
            <w:vAlign w:val="top"/>
          </w:tcPr>
          <w:p w14:paraId="33AA3CEE">
            <w:pPr>
              <w:pStyle w:val="6"/>
              <w:spacing w:before="83" w:line="208" w:lineRule="auto"/>
              <w:ind w:left="306"/>
            </w:pPr>
            <w:r>
              <w:rPr>
                <w:spacing w:val="-2"/>
              </w:rPr>
              <w:t>项目设计、专家咨询</w:t>
            </w:r>
          </w:p>
        </w:tc>
      </w:tr>
      <w:tr w14:paraId="7F0D9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964" w:type="dxa"/>
            <w:vAlign w:val="top"/>
          </w:tcPr>
          <w:p w14:paraId="254FE7AF">
            <w:pPr>
              <w:pStyle w:val="6"/>
              <w:spacing w:before="84" w:line="207" w:lineRule="auto"/>
              <w:ind w:left="252"/>
            </w:pPr>
            <w:r>
              <w:rPr>
                <w:spacing w:val="-3"/>
              </w:rPr>
              <w:t>李毅</w:t>
            </w:r>
          </w:p>
        </w:tc>
        <w:tc>
          <w:tcPr>
            <w:tcW w:w="3401" w:type="dxa"/>
            <w:vAlign w:val="top"/>
          </w:tcPr>
          <w:p w14:paraId="083481FE">
            <w:pPr>
              <w:pStyle w:val="6"/>
              <w:spacing w:before="84" w:line="207" w:lineRule="auto"/>
              <w:ind w:left="152"/>
            </w:pPr>
            <w:r>
              <w:rPr>
                <w:spacing w:val="-1"/>
              </w:rPr>
              <w:t>北京大学临床医学高等研究院</w:t>
            </w:r>
          </w:p>
        </w:tc>
        <w:tc>
          <w:tcPr>
            <w:tcW w:w="1415" w:type="dxa"/>
            <w:vAlign w:val="top"/>
          </w:tcPr>
          <w:p w14:paraId="4FB55BA8">
            <w:pPr>
              <w:pStyle w:val="6"/>
              <w:spacing w:before="84" w:line="207" w:lineRule="auto"/>
              <w:ind w:left="124"/>
            </w:pPr>
            <w:r>
              <w:rPr>
                <w:spacing w:val="-4"/>
              </w:rPr>
              <w:t>高级工程师</w:t>
            </w:r>
          </w:p>
        </w:tc>
        <w:tc>
          <w:tcPr>
            <w:tcW w:w="2749" w:type="dxa"/>
            <w:vAlign w:val="top"/>
          </w:tcPr>
          <w:p w14:paraId="5B62E62C">
            <w:pPr>
              <w:pStyle w:val="6"/>
              <w:spacing w:before="84" w:line="207" w:lineRule="auto"/>
              <w:ind w:left="664"/>
            </w:pPr>
            <w:r>
              <w:rPr>
                <w:spacing w:val="-2"/>
              </w:rPr>
              <w:t>数据统计指导</w:t>
            </w:r>
          </w:p>
        </w:tc>
      </w:tr>
      <w:tr w14:paraId="0CF9B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4" w:type="dxa"/>
            <w:vAlign w:val="top"/>
          </w:tcPr>
          <w:p w14:paraId="769932DA">
            <w:pPr>
              <w:pStyle w:val="6"/>
              <w:spacing w:before="90" w:line="210" w:lineRule="auto"/>
              <w:ind w:left="254"/>
            </w:pPr>
            <w:r>
              <w:rPr>
                <w:spacing w:val="-4"/>
              </w:rPr>
              <w:t>葛莉</w:t>
            </w:r>
          </w:p>
        </w:tc>
        <w:tc>
          <w:tcPr>
            <w:tcW w:w="3401" w:type="dxa"/>
            <w:vAlign w:val="top"/>
          </w:tcPr>
          <w:p w14:paraId="4B19A2B4">
            <w:pPr>
              <w:pStyle w:val="6"/>
              <w:spacing w:before="90" w:line="210" w:lineRule="auto"/>
              <w:ind w:left="387"/>
            </w:pPr>
            <w:r>
              <w:rPr>
                <w:spacing w:val="-1"/>
              </w:rPr>
              <w:t>福建中医药大学护理学院</w:t>
            </w:r>
          </w:p>
        </w:tc>
        <w:tc>
          <w:tcPr>
            <w:tcW w:w="1415" w:type="dxa"/>
            <w:vAlign w:val="top"/>
          </w:tcPr>
          <w:p w14:paraId="1E44B6C8">
            <w:pPr>
              <w:pStyle w:val="6"/>
              <w:spacing w:before="90" w:line="210" w:lineRule="auto"/>
              <w:ind w:left="481"/>
            </w:pPr>
            <w:r>
              <w:rPr>
                <w:spacing w:val="-4"/>
              </w:rPr>
              <w:t>教授</w:t>
            </w:r>
          </w:p>
        </w:tc>
        <w:tc>
          <w:tcPr>
            <w:tcW w:w="2749" w:type="dxa"/>
            <w:vAlign w:val="top"/>
          </w:tcPr>
          <w:p w14:paraId="294506A4">
            <w:pPr>
              <w:pStyle w:val="6"/>
              <w:spacing w:before="90" w:line="210" w:lineRule="auto"/>
              <w:ind w:left="122"/>
            </w:pPr>
            <w:r>
              <w:rPr>
                <w:spacing w:val="-12"/>
              </w:rPr>
              <w:t>设计研究方案，收集数据</w:t>
            </w:r>
          </w:p>
        </w:tc>
      </w:tr>
    </w:tbl>
    <w:p w14:paraId="1029DA6A">
      <w:pPr>
        <w:pStyle w:val="2"/>
        <w:spacing w:before="197" w:line="223" w:lineRule="auto"/>
        <w:ind w:left="618"/>
        <w:outlineLvl w:val="1"/>
        <w:rPr>
          <w:sz w:val="23"/>
          <w:szCs w:val="23"/>
        </w:rPr>
      </w:pPr>
      <w:r>
        <w:rPr>
          <w:b/>
          <w:bCs/>
          <w:spacing w:val="10"/>
          <w:sz w:val="23"/>
          <w:szCs w:val="23"/>
        </w:rPr>
        <w:t>（二）与我国有关法律、法规、规章、规范性文件和其他标准的关</w:t>
      </w:r>
      <w:r>
        <w:rPr>
          <w:b/>
          <w:bCs/>
          <w:spacing w:val="9"/>
          <w:sz w:val="23"/>
          <w:szCs w:val="23"/>
        </w:rPr>
        <w:t>系；</w:t>
      </w:r>
    </w:p>
    <w:p w14:paraId="009744F9">
      <w:pPr>
        <w:pStyle w:val="2"/>
        <w:spacing w:before="187" w:line="359" w:lineRule="auto"/>
        <w:ind w:left="123" w:right="2" w:firstLine="526"/>
      </w:pPr>
      <w:r>
        <w:rPr>
          <w:spacing w:val="-5"/>
        </w:rPr>
        <w:t>目前，我国已经建立了一套以国家标准为核心，地方政策为支撑，结合长期</w:t>
      </w:r>
      <w:r>
        <w:rPr>
          <w:spacing w:val="-3"/>
        </w:rPr>
        <w:t>护理保险等配套制度，形成覆盖评估流程、结果应用、监督管理全链条的规范体</w:t>
      </w:r>
      <w:r>
        <w:rPr>
          <w:spacing w:val="-2"/>
        </w:rPr>
        <w:t>系。其中主要包括国家标准《老年人能力评估规范</w:t>
      </w:r>
      <w:r>
        <w:rPr>
          <w:spacing w:val="-3"/>
        </w:rPr>
        <w:t>》</w:t>
      </w:r>
      <w:r>
        <w:rPr>
          <w:rFonts w:ascii="Times New Roman" w:hAnsi="Times New Roman" w:eastAsia="Times New Roman" w:cs="Times New Roman"/>
          <w:spacing w:val="-3"/>
        </w:rPr>
        <w:t>(GB/T 42195-2022)</w:t>
      </w:r>
      <w:r>
        <w:rPr>
          <w:spacing w:val="-3"/>
        </w:rPr>
        <w:t>，行业标</w:t>
      </w:r>
      <w:r>
        <w:rPr>
          <w:spacing w:val="-5"/>
        </w:rPr>
        <w:t>准《老年人能力评估》（</w:t>
      </w:r>
      <w:r>
        <w:rPr>
          <w:rFonts w:ascii="Times New Roman" w:hAnsi="Times New Roman" w:eastAsia="Times New Roman" w:cs="Times New Roman"/>
          <w:spacing w:val="-5"/>
        </w:rPr>
        <w:t>MZ/T 039-2013</w:t>
      </w:r>
      <w:r>
        <w:rPr>
          <w:spacing w:val="-62"/>
          <w:w w:val="98"/>
        </w:rPr>
        <w:t>），</w:t>
      </w:r>
      <w:r>
        <w:rPr>
          <w:spacing w:val="-5"/>
        </w:rPr>
        <w:t>地方标准《老年</w:t>
      </w:r>
      <w:r>
        <w:rPr>
          <w:spacing w:val="-6"/>
        </w:rPr>
        <w:t>人能力综合评估规范》</w:t>
      </w:r>
      <w:r>
        <w:rPr>
          <w:spacing w:val="2"/>
        </w:rPr>
        <w:t xml:space="preserve"> </w:t>
      </w:r>
      <w:r>
        <w:rPr>
          <w:spacing w:val="3"/>
        </w:rPr>
        <w:t>（</w:t>
      </w:r>
      <w:r>
        <w:rPr>
          <w:spacing w:val="-69"/>
        </w:rPr>
        <w:t xml:space="preserve"> </w:t>
      </w:r>
      <w:r>
        <w:rPr>
          <w:rFonts w:ascii="Calibri" w:hAnsi="Calibri" w:eastAsia="Calibri" w:cs="Calibri"/>
        </w:rPr>
        <w:t>DB</w:t>
      </w:r>
      <w:r>
        <w:rPr>
          <w:rFonts w:ascii="Calibri" w:hAnsi="Calibri" w:eastAsia="Calibri" w:cs="Calibri"/>
          <w:spacing w:val="3"/>
        </w:rPr>
        <w:t>11/T   1754-2024</w:t>
      </w:r>
      <w:r>
        <w:rPr>
          <w:rFonts w:ascii="Calibri" w:hAnsi="Calibri" w:eastAsia="Calibri" w:cs="Calibri"/>
          <w:spacing w:val="-24"/>
        </w:rPr>
        <w:t xml:space="preserve"> </w:t>
      </w:r>
      <w:r>
        <w:rPr>
          <w:spacing w:val="3"/>
        </w:rPr>
        <w:t>）、《</w:t>
      </w:r>
      <w:r>
        <w:rPr>
          <w:spacing w:val="-68"/>
        </w:rPr>
        <w:t xml:space="preserve"> </w:t>
      </w:r>
      <w:r>
        <w:rPr>
          <w:spacing w:val="3"/>
        </w:rPr>
        <w:t>医养结合机</w:t>
      </w:r>
      <w:r>
        <w:rPr>
          <w:spacing w:val="2"/>
        </w:rPr>
        <w:t>构老年人</w:t>
      </w:r>
      <w:r>
        <w:rPr>
          <w:spacing w:val="-71"/>
        </w:rPr>
        <w:t xml:space="preserve"> </w:t>
      </w:r>
      <w:r>
        <w:rPr>
          <w:spacing w:val="2"/>
        </w:rPr>
        <w:t>能力评估规范》（</w:t>
      </w:r>
      <w:r>
        <w:rPr>
          <w:rFonts w:ascii="Times New Roman" w:hAnsi="Times New Roman" w:eastAsia="Times New Roman" w:cs="Times New Roman"/>
        </w:rPr>
        <w:t>DB</w:t>
      </w:r>
      <w:r>
        <w:rPr>
          <w:rFonts w:ascii="Times New Roman" w:hAnsi="Times New Roman" w:eastAsia="Times New Roman" w:cs="Times New Roman"/>
          <w:spacing w:val="2"/>
        </w:rPr>
        <w:t>2101/T</w:t>
      </w:r>
      <w:r>
        <w:rPr>
          <w:rFonts w:ascii="Times New Roman" w:hAnsi="Times New Roman" w:eastAsia="Times New Roman" w:cs="Times New Roman"/>
        </w:rPr>
        <w:t xml:space="preserve"> </w:t>
      </w:r>
      <w:r>
        <w:rPr>
          <w:rFonts w:ascii="Times New Roman" w:hAnsi="Times New Roman" w:eastAsia="Times New Roman" w:cs="Times New Roman"/>
          <w:spacing w:val="1"/>
        </w:rPr>
        <w:t>0066-2022</w:t>
      </w:r>
      <w:r>
        <w:rPr>
          <w:spacing w:val="1"/>
        </w:rPr>
        <w:t>）等。这些评估内容中均是针对老年人能力评估，确保了评估工作的</w:t>
      </w:r>
      <w:r>
        <w:rPr>
          <w:spacing w:val="-6"/>
        </w:rPr>
        <w:t>标准化和规范化。《老年人能力评估规范》（</w:t>
      </w:r>
      <w:r>
        <w:rPr>
          <w:rFonts w:ascii="Times New Roman" w:hAnsi="Times New Roman" w:eastAsia="Times New Roman" w:cs="Times New Roman"/>
          <w:spacing w:val="-6"/>
        </w:rPr>
        <w:t>GB/T  42195-2022</w:t>
      </w:r>
      <w:r>
        <w:rPr>
          <w:spacing w:val="-6"/>
        </w:rPr>
        <w:t>）是国家标准，围</w:t>
      </w:r>
      <w:r>
        <w:rPr>
          <w:spacing w:val="-3"/>
        </w:rPr>
        <w:t>绕自理能力、基础运动能力、精神状态和感知觉与社会参与四个维度展开，为老年人能力评估提供了统一的科学依据，是卧床老年人综合能力评估标准的基础框架。目前发布的这些评估标准主要针对老年人的普适性评估或功能障碍人群评估或医养结合机构老年人评估等，其评估内容并不完全适合卧床老年人，且缺乏主</w:t>
      </w:r>
      <w:r>
        <w:t>客观相结合的评估指标。而卧床老年人作为老年人中健康</w:t>
      </w:r>
      <w:r>
        <w:rPr>
          <w:spacing w:val="-1"/>
        </w:rPr>
        <w:t>状况较差的一类群体，</w:t>
      </w:r>
      <w:r>
        <w:rPr>
          <w:spacing w:val="-3"/>
        </w:rPr>
        <w:t>其综合能力有别于活力老人，需要更为精细的评估内容和评分标准，以全面、客观、科学、准确地反应卧床老年人综合能力。卧床老年人综合能力评估标准与我</w:t>
      </w:r>
      <w:r>
        <w:t>国现行老年人能力评估相关法律法规、规范性文件及标准体系保持衔接与一致，</w:t>
      </w:r>
      <w:r>
        <w:rPr>
          <w:spacing w:val="-3"/>
        </w:rPr>
        <w:t>并作为《老年人能力评估规范》的进一步细化，在已有标准的基础上，将人群聚焦于卧床老年人，更加关注这类特殊群体的需求，以确保评估结果与养老服务资源分配、护理方案制定的精准对接。标准实施过程中，凡涉及个人健康与照护相关信息的采集、记录、传输与使用内容，均应遵循个人信息与数据安全等相关法</w:t>
      </w:r>
      <w:r>
        <w:rPr>
          <w:spacing w:val="-7"/>
        </w:rPr>
        <w:t>律法规要求，落实知情同意与隐私保护等原则，以确保评估工作合</w:t>
      </w:r>
      <w:r>
        <w:rPr>
          <w:spacing w:val="-8"/>
        </w:rPr>
        <w:t>法、有序开展。</w:t>
      </w:r>
    </w:p>
    <w:p w14:paraId="55E59F6E">
      <w:pPr>
        <w:pStyle w:val="2"/>
        <w:spacing w:before="1" w:line="224" w:lineRule="auto"/>
        <w:ind w:left="616"/>
        <w:outlineLvl w:val="1"/>
        <w:rPr>
          <w:sz w:val="23"/>
          <w:szCs w:val="23"/>
        </w:rPr>
      </w:pPr>
      <w:r>
        <w:rPr>
          <w:b/>
          <w:bCs/>
          <w:spacing w:val="9"/>
          <w:sz w:val="23"/>
          <w:szCs w:val="23"/>
        </w:rPr>
        <w:t>（三）国外相关法律、法规、文件和标准情况的对比说明；</w:t>
      </w:r>
    </w:p>
    <w:p w14:paraId="1AAF7D42">
      <w:pPr>
        <w:pStyle w:val="2"/>
        <w:spacing w:before="186" w:line="360" w:lineRule="auto"/>
        <w:ind w:left="148" w:right="113" w:firstLine="480"/>
      </w:pPr>
      <w:r>
        <w:rPr>
          <w:spacing w:val="-4"/>
        </w:rPr>
        <w:t>国际上针对卧床老年人综合能力评估已形成多元化、标准化的成熟体系。美</w:t>
      </w:r>
      <w:r>
        <w:t>国广泛采用以</w:t>
      </w:r>
      <w:r>
        <w:rPr>
          <w:rFonts w:ascii="Times New Roman" w:hAnsi="Times New Roman" w:eastAsia="Times New Roman" w:cs="Times New Roman"/>
        </w:rPr>
        <w:t>ICF</w:t>
      </w:r>
      <w:r>
        <w:rPr>
          <w:rFonts w:ascii="Times New Roman" w:hAnsi="Times New Roman" w:eastAsia="Times New Roman" w:cs="Times New Roman"/>
          <w:spacing w:val="16"/>
        </w:rPr>
        <w:t xml:space="preserve"> </w:t>
      </w:r>
      <w:r>
        <w:t>为理论基础的</w:t>
      </w:r>
      <w:r>
        <w:rPr>
          <w:spacing w:val="-50"/>
        </w:rPr>
        <w:t xml:space="preserve"> </w:t>
      </w:r>
      <w:r>
        <w:rPr>
          <w:rFonts w:ascii="Times New Roman" w:hAnsi="Times New Roman" w:eastAsia="Times New Roman" w:cs="Times New Roman"/>
        </w:rPr>
        <w:t>interRAI/MDS</w:t>
      </w:r>
      <w:r>
        <w:rPr>
          <w:rFonts w:ascii="Times New Roman" w:hAnsi="Times New Roman" w:eastAsia="Times New Roman" w:cs="Times New Roman"/>
          <w:spacing w:val="17"/>
          <w:w w:val="101"/>
        </w:rPr>
        <w:t xml:space="preserve"> </w:t>
      </w:r>
      <w:r>
        <w:t>系统，覆盖生理、功</w:t>
      </w:r>
      <w:r>
        <w:rPr>
          <w:spacing w:val="-1"/>
        </w:rPr>
        <w:t>能、认知及</w:t>
      </w:r>
    </w:p>
    <w:p w14:paraId="3F6EDDBD">
      <w:pPr>
        <w:spacing w:line="360" w:lineRule="auto"/>
        <w:sectPr>
          <w:pgSz w:w="11905" w:h="16839"/>
          <w:pgMar w:top="1431" w:right="1684" w:bottom="0" w:left="1684" w:header="0" w:footer="0" w:gutter="0"/>
          <w:cols w:space="720" w:num="1"/>
        </w:sectPr>
      </w:pPr>
    </w:p>
    <w:p w14:paraId="44C726A1">
      <w:pPr>
        <w:pStyle w:val="2"/>
        <w:spacing w:before="50" w:line="359" w:lineRule="auto"/>
        <w:ind w:left="24" w:right="7"/>
        <w:jc w:val="both"/>
      </w:pPr>
      <w:r>
        <w:rPr>
          <w:spacing w:val="-1"/>
        </w:rPr>
        <w:t>社会参与等多维度，并被多个国家和地区本土化改造。日本在</w:t>
      </w:r>
      <w:r>
        <w:rPr>
          <w:spacing w:val="-51"/>
        </w:rPr>
        <w:t xml:space="preserve"> </w:t>
      </w:r>
      <w:r>
        <w:rPr>
          <w:rFonts w:ascii="Times New Roman" w:hAnsi="Times New Roman" w:eastAsia="Times New Roman" w:cs="Times New Roman"/>
          <w:spacing w:val="-1"/>
        </w:rPr>
        <w:t xml:space="preserve">MDS </w:t>
      </w:r>
      <w:r>
        <w:rPr>
          <w:spacing w:val="-1"/>
        </w:rPr>
        <w:t>基础上开发</w:t>
      </w:r>
      <w:r>
        <w:rPr>
          <w:spacing w:val="-3"/>
        </w:rPr>
        <w:t>了涵盖生活机能、认知与社会适应性的评估工具，并将其纳入介护保险制度的法</w:t>
      </w:r>
      <w:r>
        <w:rPr>
          <w:spacing w:val="-4"/>
        </w:rPr>
        <w:t>定评估标准；中国香港地区则衍生出“长者健康及家居护理评估</w:t>
      </w:r>
      <w:r>
        <w:rPr>
          <w:spacing w:val="-86"/>
        </w:rPr>
        <w:t xml:space="preserve"> </w:t>
      </w:r>
      <w:r>
        <w:rPr>
          <w:spacing w:val="-4"/>
        </w:rPr>
        <w:t>”，整合身心状</w:t>
      </w:r>
      <w:r>
        <w:rPr>
          <w:spacing w:val="-1"/>
        </w:rPr>
        <w:t>况、活动能力及医疗需求等模块。欧洲老年医学会发</w:t>
      </w:r>
      <w:r>
        <w:rPr>
          <w:spacing w:val="-2"/>
        </w:rPr>
        <w:t>布了综合性老年评估指南，</w:t>
      </w:r>
      <w:r>
        <w:rPr>
          <w:spacing w:val="-3"/>
        </w:rPr>
        <w:t>强调多维度健康与功能整合。这些体系共同特点是：以功能为导向，兼顾医学与社会心理指标，并通过标准化工具实现评估结果的可比性与实践可操作性，为长期照护服务的分级与资源配置提供依据。由此可见，各国和地区在卧床老年人综合能力评估体系的建设上，呈现多功能、多维度、标准化核心原则，主要以世界</w:t>
      </w:r>
      <w:r>
        <w:rPr>
          <w:spacing w:val="1"/>
        </w:rPr>
        <w:t>卫生组织的</w:t>
      </w:r>
      <w:r>
        <w:rPr>
          <w:spacing w:val="-34"/>
        </w:rPr>
        <w:t xml:space="preserve"> </w:t>
      </w:r>
      <w:r>
        <w:rPr>
          <w:rFonts w:ascii="Times New Roman" w:hAnsi="Times New Roman" w:eastAsia="Times New Roman" w:cs="Times New Roman"/>
        </w:rPr>
        <w:t>ICF</w:t>
      </w:r>
      <w:r>
        <w:rPr>
          <w:rFonts w:ascii="Times New Roman" w:hAnsi="Times New Roman" w:eastAsia="Times New Roman" w:cs="Times New Roman"/>
          <w:spacing w:val="1"/>
        </w:rPr>
        <w:t xml:space="preserve"> </w:t>
      </w:r>
      <w:r>
        <w:rPr>
          <w:spacing w:val="1"/>
        </w:rPr>
        <w:t>框架为重要理论源泉，并普遍采纳如</w:t>
      </w:r>
      <w:r>
        <w:rPr>
          <w:rFonts w:ascii="Times New Roman" w:hAnsi="Times New Roman" w:eastAsia="Times New Roman" w:cs="Times New Roman"/>
        </w:rPr>
        <w:t>MMSE</w:t>
      </w:r>
      <w:r>
        <w:rPr>
          <w:rFonts w:ascii="Times New Roman" w:hAnsi="Times New Roman" w:eastAsia="Times New Roman" w:cs="Times New Roman"/>
          <w:spacing w:val="18"/>
        </w:rPr>
        <w:t xml:space="preserve"> </w:t>
      </w:r>
      <w:r>
        <w:rPr>
          <w:spacing w:val="1"/>
        </w:rPr>
        <w:t>等国际公认的专项</w:t>
      </w:r>
      <w:r>
        <w:rPr>
          <w:spacing w:val="-3"/>
        </w:rPr>
        <w:t>工具作为补充。因此，本标准编制过程中，在借鉴国际通用框架的基础上，着力</w:t>
      </w:r>
      <w:r>
        <w:rPr>
          <w:spacing w:val="-1"/>
        </w:rPr>
        <w:t>构建与卧床老年人特点相匹配，与本土养老制度及服</w:t>
      </w:r>
      <w:r>
        <w:rPr>
          <w:spacing w:val="-2"/>
        </w:rPr>
        <w:t>务体系相匹配的评估体系。</w:t>
      </w:r>
    </w:p>
    <w:p w14:paraId="25C95D45">
      <w:pPr>
        <w:pStyle w:val="2"/>
        <w:spacing w:line="223" w:lineRule="auto"/>
        <w:ind w:left="515"/>
        <w:outlineLvl w:val="1"/>
        <w:rPr>
          <w:sz w:val="23"/>
          <w:szCs w:val="23"/>
        </w:rPr>
      </w:pPr>
      <w:r>
        <w:rPr>
          <w:b/>
          <w:bCs/>
          <w:spacing w:val="9"/>
          <w:sz w:val="23"/>
          <w:szCs w:val="23"/>
        </w:rPr>
        <w:t>（四）标准的制定、修订与起草原则；</w:t>
      </w:r>
    </w:p>
    <w:p w14:paraId="4E7F4128">
      <w:pPr>
        <w:pStyle w:val="2"/>
        <w:spacing w:before="187" w:line="224" w:lineRule="auto"/>
        <w:ind w:left="521"/>
        <w:outlineLvl w:val="2"/>
        <w:rPr>
          <w:sz w:val="23"/>
          <w:szCs w:val="23"/>
        </w:rPr>
      </w:pPr>
      <w:r>
        <w:rPr>
          <w:b/>
          <w:bCs/>
          <w:spacing w:val="5"/>
          <w:sz w:val="23"/>
          <w:szCs w:val="23"/>
        </w:rPr>
        <w:t>1.制定原则</w:t>
      </w:r>
    </w:p>
    <w:p w14:paraId="03C0432E">
      <w:pPr>
        <w:pStyle w:val="2"/>
        <w:spacing w:before="185" w:line="220" w:lineRule="auto"/>
        <w:ind w:left="510"/>
      </w:pPr>
      <w:r>
        <w:rPr>
          <w:spacing w:val="-2"/>
        </w:rPr>
        <w:t>（1）统一性与规范性原则</w:t>
      </w:r>
    </w:p>
    <w:p w14:paraId="02F5532E">
      <w:pPr>
        <w:pStyle w:val="2"/>
        <w:spacing w:before="185" w:line="359" w:lineRule="auto"/>
        <w:ind w:left="24" w:right="26" w:firstLine="480"/>
      </w:pPr>
      <w:r>
        <w:rPr>
          <w:spacing w:val="-1"/>
        </w:rPr>
        <w:t>严格遵循</w:t>
      </w:r>
      <w:r>
        <w:rPr>
          <w:spacing w:val="-52"/>
        </w:rPr>
        <w:t xml:space="preserve"> </w:t>
      </w:r>
      <w:r>
        <w:rPr>
          <w:rFonts w:ascii="Times New Roman" w:hAnsi="Times New Roman" w:eastAsia="Times New Roman" w:cs="Times New Roman"/>
          <w:spacing w:val="-1"/>
        </w:rPr>
        <w:t>GB/T</w:t>
      </w:r>
      <w:r>
        <w:rPr>
          <w:rFonts w:ascii="Times New Roman" w:hAnsi="Times New Roman" w:eastAsia="Times New Roman" w:cs="Times New Roman"/>
          <w:spacing w:val="24"/>
        </w:rPr>
        <w:t xml:space="preserve"> </w:t>
      </w:r>
      <w:r>
        <w:rPr>
          <w:rFonts w:ascii="Times New Roman" w:hAnsi="Times New Roman" w:eastAsia="Times New Roman" w:cs="Times New Roman"/>
          <w:spacing w:val="-1"/>
        </w:rPr>
        <w:t>1.1</w:t>
      </w:r>
      <w:r>
        <w:rPr>
          <w:spacing w:val="-1"/>
        </w:rPr>
        <w:t xml:space="preserve">《标准化工作导则第 </w:t>
      </w:r>
      <w:r>
        <w:rPr>
          <w:rFonts w:ascii="Times New Roman" w:hAnsi="Times New Roman" w:eastAsia="Times New Roman" w:cs="Times New Roman"/>
          <w:spacing w:val="-1"/>
        </w:rPr>
        <w:t xml:space="preserve">1  </w:t>
      </w:r>
      <w:r>
        <w:rPr>
          <w:spacing w:val="-1"/>
        </w:rPr>
        <w:t>部分：标</w:t>
      </w:r>
      <w:r>
        <w:rPr>
          <w:spacing w:val="-2"/>
        </w:rPr>
        <w:t>准化文件的结构和起草规范》要求，确保评估用表的格式、术语表述、指标设置逻辑等方面统一规范，</w:t>
      </w:r>
      <w:r>
        <w:rPr>
          <w:spacing w:val="-1"/>
        </w:rPr>
        <w:t>便于不同评估场景下的应用与解读。</w:t>
      </w:r>
    </w:p>
    <w:p w14:paraId="1912646E">
      <w:pPr>
        <w:pStyle w:val="2"/>
        <w:spacing w:before="1" w:line="220" w:lineRule="auto"/>
        <w:ind w:left="510"/>
      </w:pPr>
      <w:r>
        <w:rPr>
          <w:spacing w:val="-2"/>
        </w:rPr>
        <w:t>（2）全面性与针对性原则</w:t>
      </w:r>
    </w:p>
    <w:p w14:paraId="533F03EC">
      <w:pPr>
        <w:pStyle w:val="2"/>
        <w:spacing w:before="180" w:line="359" w:lineRule="auto"/>
        <w:ind w:left="22" w:right="66" w:firstLine="483"/>
      </w:pPr>
      <w:r>
        <w:rPr>
          <w:spacing w:val="-3"/>
        </w:rPr>
        <w:t>充分考虑卧床老年人的特殊性，构建了涵盖健康状态（</w:t>
      </w:r>
      <w:r>
        <w:rPr>
          <w:spacing w:val="-4"/>
        </w:rPr>
        <w:t>躯体、心理、社会健</w:t>
      </w:r>
      <w:r>
        <w:rPr>
          <w:spacing w:val="-7"/>
        </w:rPr>
        <w:t>康）与核心能力（认知、运动、自理能力）</w:t>
      </w:r>
      <w:r>
        <w:rPr>
          <w:spacing w:val="29"/>
        </w:rPr>
        <w:t xml:space="preserve"> </w:t>
      </w:r>
      <w:r>
        <w:rPr>
          <w:spacing w:val="-7"/>
        </w:rPr>
        <w:t>的评估框架。通过</w:t>
      </w:r>
      <w:r>
        <w:rPr>
          <w:spacing w:val="-8"/>
        </w:rPr>
        <w:t>整合多领域成熟量</w:t>
      </w:r>
      <w:r>
        <w:t>表并引入创新评估手段（如眼动检查</w:t>
      </w:r>
      <w:r>
        <w:rPr>
          <w:spacing w:val="-62"/>
          <w:w w:val="98"/>
        </w:rPr>
        <w:t>），</w:t>
      </w:r>
      <w:r>
        <w:t>力求全面、立体地反映卧床老年人的综合能力状况，为实现精准化、个性化的照护与康</w:t>
      </w:r>
      <w:r>
        <w:rPr>
          <w:spacing w:val="-1"/>
        </w:rPr>
        <w:t>复干预提供全面依据。</w:t>
      </w:r>
    </w:p>
    <w:p w14:paraId="556A9B5E">
      <w:pPr>
        <w:pStyle w:val="2"/>
        <w:spacing w:before="1" w:line="218" w:lineRule="auto"/>
        <w:ind w:left="510"/>
      </w:pPr>
      <w:r>
        <w:rPr>
          <w:spacing w:val="-2"/>
        </w:rPr>
        <w:t>（3）科学性与实用性原则</w:t>
      </w:r>
    </w:p>
    <w:p w14:paraId="1F8F594B">
      <w:pPr>
        <w:pStyle w:val="2"/>
        <w:spacing w:before="182" w:line="359" w:lineRule="auto"/>
        <w:ind w:left="24" w:firstLine="506"/>
      </w:pPr>
      <w:r>
        <w:rPr>
          <w:spacing w:val="-4"/>
        </w:rPr>
        <w:t>以国内外相关指南、专家共识、系统综述及原始研究结论为依据，确保评估</w:t>
      </w:r>
      <w:r>
        <w:rPr>
          <w:spacing w:val="-8"/>
        </w:rPr>
        <w:t>指标的选取、评分标准的设定具有坚实的科学基础；同时兼顾评估操作的简便性，</w:t>
      </w:r>
      <w:r>
        <w:rPr>
          <w:spacing w:val="-3"/>
        </w:rPr>
        <w:t>使一线医务人员、护理员等能快速掌握并规范执行，适配各级医疗机构、养老机</w:t>
      </w:r>
      <w:r>
        <w:rPr>
          <w:spacing w:val="-1"/>
        </w:rPr>
        <w:t>构、社区居家照护服务中心等实际工作场景。</w:t>
      </w:r>
    </w:p>
    <w:p w14:paraId="1EB7011D">
      <w:pPr>
        <w:pStyle w:val="2"/>
        <w:spacing w:line="220" w:lineRule="auto"/>
        <w:ind w:left="510"/>
      </w:pPr>
      <w:r>
        <w:rPr>
          <w:spacing w:val="-2"/>
        </w:rPr>
        <w:t>（4）协调性与适用性原则</w:t>
      </w:r>
    </w:p>
    <w:p w14:paraId="37BA8C08">
      <w:pPr>
        <w:pStyle w:val="2"/>
        <w:spacing w:before="180" w:line="363" w:lineRule="auto"/>
        <w:ind w:left="23" w:right="66" w:firstLine="480"/>
      </w:pPr>
      <w:r>
        <w:rPr>
          <w:spacing w:val="-3"/>
        </w:rPr>
        <w:t>标准设计紧密贴合我国养老服务与临床康复的实际场景与资</w:t>
      </w:r>
      <w:r>
        <w:rPr>
          <w:spacing w:val="-4"/>
        </w:rPr>
        <w:t>源条件。确保评</w:t>
      </w:r>
      <w:r>
        <w:rPr>
          <w:spacing w:val="-3"/>
        </w:rPr>
        <w:t>估内容与</w:t>
      </w:r>
      <w:r>
        <w:rPr>
          <w:spacing w:val="-52"/>
        </w:rPr>
        <w:t xml:space="preserve"> </w:t>
      </w:r>
      <w:r>
        <w:rPr>
          <w:rFonts w:ascii="Times New Roman" w:hAnsi="Times New Roman" w:eastAsia="Times New Roman" w:cs="Times New Roman"/>
          <w:spacing w:val="-3"/>
        </w:rPr>
        <w:t>GB/T 42195-2022</w:t>
      </w:r>
      <w:r>
        <w:rPr>
          <w:spacing w:val="-3"/>
        </w:rPr>
        <w:t>《老年人能力评估规范》、</w:t>
      </w:r>
      <w:r>
        <w:rPr>
          <w:rFonts w:ascii="Times New Roman" w:hAnsi="Times New Roman" w:eastAsia="Times New Roman" w:cs="Times New Roman"/>
          <w:spacing w:val="-3"/>
        </w:rPr>
        <w:t>SF/T 0096</w:t>
      </w:r>
      <w:r>
        <w:rPr>
          <w:rFonts w:ascii="Times New Roman" w:hAnsi="Times New Roman" w:eastAsia="Times New Roman" w:cs="Times New Roman"/>
          <w:spacing w:val="-4"/>
        </w:rPr>
        <w:t>-2021</w:t>
      </w:r>
      <w:r>
        <w:rPr>
          <w:spacing w:val="-4"/>
        </w:rPr>
        <w:t>《肢体运动</w:t>
      </w:r>
    </w:p>
    <w:p w14:paraId="4CF4CD40">
      <w:pPr>
        <w:spacing w:line="363" w:lineRule="auto"/>
        <w:sectPr>
          <w:pgSz w:w="11905" w:h="16839"/>
          <w:pgMar w:top="1430" w:right="1731" w:bottom="0" w:left="1785" w:header="0" w:footer="0" w:gutter="0"/>
          <w:cols w:space="720" w:num="1"/>
        </w:sectPr>
      </w:pPr>
    </w:p>
    <w:p w14:paraId="6B22B86F">
      <w:pPr>
        <w:pStyle w:val="2"/>
        <w:spacing w:before="47" w:line="359" w:lineRule="auto"/>
        <w:ind w:left="21" w:right="26" w:firstLine="5"/>
        <w:jc w:val="both"/>
      </w:pPr>
      <w:r>
        <w:rPr>
          <w:spacing w:val="-3"/>
        </w:rPr>
        <w:t>功能评定》等现行国家标准、行业标准相协调。评估项目、流程及要求</w:t>
      </w:r>
      <w:r>
        <w:rPr>
          <w:spacing w:val="-4"/>
        </w:rPr>
        <w:t>均针对卧</w:t>
      </w:r>
      <w:r>
        <w:rPr>
          <w:spacing w:val="-1"/>
        </w:rPr>
        <w:t>床老年人活动受限、身体脆弱的生理心理特点进行专门设计</w:t>
      </w:r>
      <w:r>
        <w:rPr>
          <w:spacing w:val="-2"/>
        </w:rPr>
        <w:t>。对评估人员资质、</w:t>
      </w:r>
      <w:r>
        <w:rPr>
          <w:spacing w:val="-3"/>
        </w:rPr>
        <w:t>仪器设备及环境的要求切实可行，确保标准在各级医疗机构、养老机构及社区环境中具备推广实施的现实基础。附录提供的各类规范化评估用表，增强了标准的</w:t>
      </w:r>
      <w:r>
        <w:rPr>
          <w:spacing w:val="-1"/>
        </w:rPr>
        <w:t>实用性与可执行性。</w:t>
      </w:r>
    </w:p>
    <w:p w14:paraId="786705BC">
      <w:pPr>
        <w:pStyle w:val="2"/>
        <w:spacing w:line="223" w:lineRule="auto"/>
        <w:ind w:left="500"/>
        <w:outlineLvl w:val="2"/>
        <w:rPr>
          <w:sz w:val="23"/>
          <w:szCs w:val="23"/>
        </w:rPr>
      </w:pPr>
      <w:r>
        <w:rPr>
          <w:rFonts w:ascii="Times New Roman" w:hAnsi="Times New Roman" w:eastAsia="Times New Roman" w:cs="Times New Roman"/>
          <w:b/>
          <w:bCs/>
          <w:spacing w:val="6"/>
        </w:rPr>
        <w:t>2.</w:t>
      </w:r>
      <w:r>
        <w:rPr>
          <w:b/>
          <w:bCs/>
          <w:spacing w:val="6"/>
          <w:sz w:val="23"/>
          <w:szCs w:val="23"/>
        </w:rPr>
        <w:t>起草原则</w:t>
      </w:r>
    </w:p>
    <w:p w14:paraId="233F7407">
      <w:pPr>
        <w:pStyle w:val="2"/>
        <w:spacing w:before="190" w:line="220" w:lineRule="auto"/>
        <w:ind w:left="510"/>
      </w:pPr>
      <w:r>
        <w:rPr>
          <w:spacing w:val="-2"/>
        </w:rPr>
        <w:t>（</w:t>
      </w:r>
      <w:r>
        <w:rPr>
          <w:rFonts w:ascii="Times New Roman" w:hAnsi="Times New Roman" w:eastAsia="Times New Roman" w:cs="Times New Roman"/>
          <w:spacing w:val="-2"/>
        </w:rPr>
        <w:t>1</w:t>
      </w:r>
      <w:r>
        <w:rPr>
          <w:spacing w:val="-2"/>
        </w:rPr>
        <w:t>）证据支撑原则</w:t>
      </w:r>
    </w:p>
    <w:p w14:paraId="074A0BA2">
      <w:pPr>
        <w:pStyle w:val="2"/>
        <w:spacing w:before="181" w:line="359" w:lineRule="auto"/>
        <w:ind w:left="24" w:right="44" w:firstLine="480"/>
      </w:pPr>
      <w:r>
        <w:rPr>
          <w:spacing w:val="-2"/>
        </w:rPr>
        <w:t>起草过程中全面检索国内外相关标准、临床指南、专家共识及高质量文献，</w:t>
      </w:r>
      <w:r>
        <w:rPr>
          <w:spacing w:val="-3"/>
        </w:rPr>
        <w:t>提取卧床老年人综合能力评估的关键要素与有效方法，确保每个指标、每项评分标准均有明确的证据来源。</w:t>
      </w:r>
    </w:p>
    <w:p w14:paraId="4E0E9EF7">
      <w:pPr>
        <w:pStyle w:val="2"/>
        <w:spacing w:before="1" w:line="220" w:lineRule="auto"/>
        <w:ind w:left="510"/>
      </w:pPr>
      <w:r>
        <w:rPr>
          <w:spacing w:val="-2"/>
        </w:rPr>
        <w:t>（</w:t>
      </w:r>
      <w:r>
        <w:rPr>
          <w:rFonts w:ascii="Times New Roman" w:hAnsi="Times New Roman" w:eastAsia="Times New Roman" w:cs="Times New Roman"/>
          <w:spacing w:val="-2"/>
        </w:rPr>
        <w:t>2</w:t>
      </w:r>
      <w:r>
        <w:rPr>
          <w:spacing w:val="-2"/>
        </w:rPr>
        <w:t>）多方参与原则</w:t>
      </w:r>
    </w:p>
    <w:p w14:paraId="1E22F611">
      <w:pPr>
        <w:pStyle w:val="2"/>
        <w:spacing w:before="181" w:line="359" w:lineRule="auto"/>
        <w:ind w:left="25" w:right="85" w:firstLine="480"/>
      </w:pPr>
      <w:r>
        <w:rPr>
          <w:spacing w:val="-3"/>
        </w:rPr>
        <w:t>组建由临床医学、康复医学、护理学、养老服务等多领</w:t>
      </w:r>
      <w:r>
        <w:rPr>
          <w:spacing w:val="-4"/>
        </w:rPr>
        <w:t>域专家及养老院工作</w:t>
      </w:r>
      <w:r>
        <w:rPr>
          <w:spacing w:val="-3"/>
        </w:rPr>
        <w:t>人员组成的起草团队，充分吸纳不同专业视角与实践经验，确保标准兼具科</w:t>
      </w:r>
      <w:r>
        <w:rPr>
          <w:spacing w:val="-4"/>
        </w:rPr>
        <w:t>学性</w:t>
      </w:r>
      <w:r>
        <w:rPr>
          <w:spacing w:val="-3"/>
        </w:rPr>
        <w:t>与实操性。</w:t>
      </w:r>
    </w:p>
    <w:p w14:paraId="7BE73A1D">
      <w:pPr>
        <w:pStyle w:val="2"/>
        <w:spacing w:line="219" w:lineRule="auto"/>
        <w:ind w:left="510"/>
      </w:pPr>
      <w:r>
        <w:rPr>
          <w:spacing w:val="-2"/>
        </w:rPr>
        <w:t>（</w:t>
      </w:r>
      <w:r>
        <w:rPr>
          <w:rFonts w:ascii="Times New Roman" w:hAnsi="Times New Roman" w:eastAsia="Times New Roman" w:cs="Times New Roman"/>
          <w:spacing w:val="-2"/>
        </w:rPr>
        <w:t>3</w:t>
      </w:r>
      <w:r>
        <w:rPr>
          <w:spacing w:val="-2"/>
        </w:rPr>
        <w:t>）共识性原则</w:t>
      </w:r>
    </w:p>
    <w:p w14:paraId="5102F0A0">
      <w:pPr>
        <w:pStyle w:val="2"/>
        <w:spacing w:before="180" w:line="360" w:lineRule="auto"/>
        <w:ind w:left="26" w:right="85" w:firstLine="477"/>
      </w:pPr>
      <w:r>
        <w:rPr>
          <w:spacing w:val="-3"/>
        </w:rPr>
        <w:t>通过多轮专家研讨会、调研等形式，对评估指标的选取、等级</w:t>
      </w:r>
      <w:r>
        <w:rPr>
          <w:spacing w:val="-4"/>
        </w:rPr>
        <w:t>划分等关键内</w:t>
      </w:r>
      <w:r>
        <w:t>容进行充分论证，达成广泛共识后纳入标准</w:t>
      </w:r>
      <w:r>
        <w:rPr>
          <w:spacing w:val="-1"/>
        </w:rPr>
        <w:t>，避免单一视角导致的片面性。</w:t>
      </w:r>
    </w:p>
    <w:p w14:paraId="1090F140">
      <w:pPr>
        <w:pStyle w:val="2"/>
        <w:spacing w:before="2" w:line="298" w:lineRule="auto"/>
        <w:ind w:left="28" w:right="90" w:firstLine="486"/>
        <w:outlineLvl w:val="1"/>
        <w:rPr>
          <w:sz w:val="23"/>
          <w:szCs w:val="23"/>
        </w:rPr>
      </w:pPr>
      <w:r>
        <w:rPr>
          <w:b/>
          <w:bCs/>
          <w:spacing w:val="11"/>
          <w:sz w:val="23"/>
          <w:szCs w:val="23"/>
        </w:rPr>
        <w:t>（五）确定各项技术内容（如技术指标、参数、公式、试验方法、检验规</w:t>
      </w:r>
      <w:r>
        <w:rPr>
          <w:b/>
          <w:bCs/>
          <w:spacing w:val="7"/>
          <w:sz w:val="23"/>
          <w:szCs w:val="23"/>
        </w:rPr>
        <w:t>则等）的依据；</w:t>
      </w:r>
    </w:p>
    <w:p w14:paraId="2CE4BC0C">
      <w:pPr>
        <w:pStyle w:val="2"/>
        <w:spacing w:before="185" w:line="360" w:lineRule="auto"/>
        <w:ind w:left="24" w:firstLine="480"/>
        <w:jc w:val="both"/>
      </w:pPr>
      <w:r>
        <w:rPr>
          <w:spacing w:val="-3"/>
        </w:rPr>
        <w:t>本标准在确定各项技术内容时，紧密结合我国卧床老年人健</w:t>
      </w:r>
      <w:r>
        <w:rPr>
          <w:spacing w:val="-4"/>
        </w:rPr>
        <w:t>康管理与长期照</w:t>
      </w:r>
      <w:r>
        <w:rPr>
          <w:spacing w:val="-7"/>
        </w:rPr>
        <w:t>护的实际需求，在充分借鉴国内现行国家标准、行业标准、地</w:t>
      </w:r>
      <w:r>
        <w:rPr>
          <w:spacing w:val="-8"/>
        </w:rPr>
        <w:t>方标准及相关指南、</w:t>
      </w:r>
      <w:r>
        <w:rPr>
          <w:spacing w:val="-1"/>
        </w:rPr>
        <w:t>专家共识的基础上，形成了系统、完整、可</w:t>
      </w:r>
      <w:r>
        <w:rPr>
          <w:spacing w:val="-2"/>
        </w:rPr>
        <w:t>实施的技术体系。</w:t>
      </w:r>
    </w:p>
    <w:p w14:paraId="692BF879">
      <w:pPr>
        <w:pStyle w:val="2"/>
        <w:spacing w:before="1" w:line="222" w:lineRule="auto"/>
        <w:ind w:left="530"/>
        <w:outlineLvl w:val="2"/>
        <w:rPr>
          <w:sz w:val="23"/>
          <w:szCs w:val="23"/>
        </w:rPr>
      </w:pPr>
      <w:r>
        <w:rPr>
          <w:b/>
          <w:bCs/>
          <w:spacing w:val="9"/>
          <w:sz w:val="23"/>
          <w:szCs w:val="23"/>
        </w:rPr>
        <w:t>1.总体技术框架与评估内容设置依据</w:t>
      </w:r>
    </w:p>
    <w:p w14:paraId="1935323E">
      <w:pPr>
        <w:pStyle w:val="2"/>
        <w:spacing w:before="189" w:line="359" w:lineRule="auto"/>
        <w:ind w:left="26" w:right="85" w:firstLine="478"/>
        <w:jc w:val="both"/>
      </w:pPr>
      <w:r>
        <w:rPr>
          <w:spacing w:val="-3"/>
        </w:rPr>
        <w:t>本标准围绕卧床老年人长期照护过程中最核心、最常见的功</w:t>
      </w:r>
      <w:r>
        <w:rPr>
          <w:spacing w:val="-4"/>
        </w:rPr>
        <w:t>能问题，构建了</w:t>
      </w:r>
      <w:r>
        <w:rPr>
          <w:spacing w:val="-3"/>
        </w:rPr>
        <w:t>以健康状态和能力评估为主线的综合能力评估框架。评估内容涵盖躯体健</w:t>
      </w:r>
      <w:r>
        <w:rPr>
          <w:spacing w:val="-4"/>
        </w:rPr>
        <w:t>康、心</w:t>
      </w:r>
      <w:r>
        <w:rPr>
          <w:spacing w:val="-1"/>
        </w:rPr>
        <w:t>理健康、社会健康、认知能力、运动能力和自理能力六个方面。</w:t>
      </w:r>
    </w:p>
    <w:p w14:paraId="1E18E45E">
      <w:pPr>
        <w:pStyle w:val="2"/>
        <w:spacing w:before="1" w:line="218" w:lineRule="auto"/>
        <w:ind w:left="510"/>
      </w:pPr>
      <w:r>
        <w:rPr>
          <w:spacing w:val="-1"/>
        </w:rPr>
        <w:t>（1）健康状态相关指标的确定依据</w:t>
      </w:r>
    </w:p>
    <w:p w14:paraId="4D59A0E4">
      <w:pPr>
        <w:pStyle w:val="2"/>
        <w:spacing w:before="181" w:line="219" w:lineRule="auto"/>
        <w:ind w:left="497"/>
      </w:pPr>
      <w:r>
        <w:rPr>
          <w:rFonts w:ascii="Times New Roman" w:hAnsi="Times New Roman" w:eastAsia="Times New Roman" w:cs="Times New Roman"/>
          <w:spacing w:val="-1"/>
        </w:rPr>
        <w:t xml:space="preserve">WHO </w:t>
      </w:r>
      <w:r>
        <w:rPr>
          <w:spacing w:val="-1"/>
        </w:rPr>
        <w:t>将健康界定为躯体、心理与社会福祉的整体状态；ICF</w:t>
      </w:r>
      <w:r>
        <w:rPr>
          <w:spacing w:val="-52"/>
        </w:rPr>
        <w:t xml:space="preserve"> </w:t>
      </w:r>
      <w:r>
        <w:rPr>
          <w:spacing w:val="-1"/>
        </w:rPr>
        <w:t>进一</w:t>
      </w:r>
      <w:r>
        <w:rPr>
          <w:spacing w:val="-2"/>
        </w:rPr>
        <w:t>步指出，</w:t>
      </w:r>
    </w:p>
    <w:p w14:paraId="2EF2EDF0">
      <w:pPr>
        <w:pStyle w:val="2"/>
        <w:spacing w:before="180" w:line="364" w:lineRule="auto"/>
        <w:ind w:left="25" w:right="85" w:hanging="2"/>
      </w:pPr>
      <w:r>
        <w:rPr>
          <w:spacing w:val="-3"/>
        </w:rPr>
        <w:t>个体功能状态由健康状况与环境因素相互作用形成。健康状态包括躯体健康、心理健康和社会健康。躯体健康中生命体征（体温、脉搏、呼吸、血压）的</w:t>
      </w:r>
      <w:r>
        <w:rPr>
          <w:spacing w:val="-4"/>
        </w:rPr>
        <w:t>测量指</w:t>
      </w:r>
    </w:p>
    <w:p w14:paraId="1F6063E5">
      <w:pPr>
        <w:spacing w:line="364" w:lineRule="auto"/>
        <w:sectPr>
          <w:pgSz w:w="11905" w:h="16839"/>
          <w:pgMar w:top="1430" w:right="1712" w:bottom="0" w:left="1785" w:header="0" w:footer="0" w:gutter="0"/>
          <w:cols w:space="720" w:num="1"/>
        </w:sectPr>
      </w:pPr>
    </w:p>
    <w:p w14:paraId="78A3BFC0">
      <w:pPr>
        <w:pStyle w:val="2"/>
        <w:spacing w:before="47" w:line="359" w:lineRule="auto"/>
        <w:ind w:left="24" w:right="85"/>
        <w:jc w:val="both"/>
      </w:pPr>
      <w:r>
        <w:rPr>
          <w:spacing w:val="-8"/>
        </w:rPr>
        <w:t xml:space="preserve">标、分级标准和判定方法，主要依据《诊断学（第 </w:t>
      </w:r>
      <w:r>
        <w:rPr>
          <w:rFonts w:ascii="Times New Roman" w:hAnsi="Times New Roman" w:eastAsia="Times New Roman" w:cs="Times New Roman"/>
          <w:spacing w:val="-8"/>
        </w:rPr>
        <w:t xml:space="preserve">10 </w:t>
      </w:r>
      <w:r>
        <w:rPr>
          <w:spacing w:val="-8"/>
        </w:rPr>
        <w:t>版）》及《中国高血压防治</w:t>
      </w:r>
      <w:r>
        <w:rPr>
          <w:spacing w:val="-4"/>
        </w:rPr>
        <w:t>指南（</w:t>
      </w:r>
      <w:r>
        <w:rPr>
          <w:rFonts w:ascii="Times New Roman" w:hAnsi="Times New Roman" w:eastAsia="Times New Roman" w:cs="Times New Roman"/>
          <w:spacing w:val="-4"/>
        </w:rPr>
        <w:t xml:space="preserve">2024 </w:t>
      </w:r>
      <w:r>
        <w:rPr>
          <w:spacing w:val="-4"/>
        </w:rPr>
        <w:t>年修订版）》等权威医学文献与指南</w:t>
      </w:r>
      <w:r>
        <w:rPr>
          <w:spacing w:val="-5"/>
        </w:rPr>
        <w:t>确定，确保指标来源权威、判定</w:t>
      </w:r>
      <w:r>
        <w:rPr>
          <w:spacing w:val="-3"/>
        </w:rPr>
        <w:t>标准统一。意识水平和心功能的分级与评分方法，参考临床常用评估体系，并结合卧床老年人的功能耐受特点进行适度调整，用以指导后续认知、运动和自理能</w:t>
      </w:r>
      <w:r>
        <w:rPr>
          <w:spacing w:val="-1"/>
        </w:rPr>
        <w:t>力评估是否适宜开展，增强评估过程的安全性和科学性。</w:t>
      </w:r>
    </w:p>
    <w:p w14:paraId="05FE5EB4">
      <w:pPr>
        <w:pStyle w:val="2"/>
        <w:spacing w:before="1" w:line="357" w:lineRule="auto"/>
        <w:ind w:left="22" w:right="85" w:firstLine="489"/>
        <w:jc w:val="both"/>
      </w:pPr>
      <w:r>
        <w:rPr>
          <w:spacing w:val="-3"/>
        </w:rPr>
        <w:t>心理健康评估中，焦虑和抑郁指标分别采用</w:t>
      </w:r>
      <w:r>
        <w:rPr>
          <w:spacing w:val="-4"/>
        </w:rPr>
        <w:t>国内外广泛应用、信效度良好的</w:t>
      </w:r>
      <w:r>
        <w:t>广泛性焦虑量表（</w:t>
      </w:r>
      <w:r>
        <w:rPr>
          <w:rFonts w:ascii="Times New Roman" w:hAnsi="Times New Roman" w:eastAsia="Times New Roman" w:cs="Times New Roman"/>
        </w:rPr>
        <w:t>Generalized</w:t>
      </w:r>
      <w:r>
        <w:rPr>
          <w:rFonts w:ascii="Times New Roman" w:hAnsi="Times New Roman" w:eastAsia="Times New Roman" w:cs="Times New Roman"/>
          <w:spacing w:val="21"/>
          <w:w w:val="101"/>
        </w:rPr>
        <w:t xml:space="preserve"> </w:t>
      </w:r>
      <w:r>
        <w:rPr>
          <w:rFonts w:ascii="Times New Roman" w:hAnsi="Times New Roman" w:eastAsia="Times New Roman" w:cs="Times New Roman"/>
        </w:rPr>
        <w:t>Anxi</w:t>
      </w:r>
      <w:r>
        <w:rPr>
          <w:rFonts w:ascii="Times New Roman" w:hAnsi="Times New Roman" w:eastAsia="Times New Roman" w:cs="Times New Roman"/>
          <w:spacing w:val="-1"/>
        </w:rPr>
        <w:t>ety</w:t>
      </w:r>
      <w:r>
        <w:rPr>
          <w:rFonts w:ascii="Times New Roman" w:hAnsi="Times New Roman" w:eastAsia="Times New Roman" w:cs="Times New Roman"/>
          <w:spacing w:val="24"/>
        </w:rPr>
        <w:t xml:space="preserve"> </w:t>
      </w:r>
      <w:r>
        <w:rPr>
          <w:rFonts w:ascii="Times New Roman" w:hAnsi="Times New Roman" w:eastAsia="Times New Roman" w:cs="Times New Roman"/>
          <w:spacing w:val="-1"/>
        </w:rPr>
        <w:t>Disorder-7,</w:t>
      </w:r>
      <w:r>
        <w:rPr>
          <w:rFonts w:ascii="Times New Roman" w:hAnsi="Times New Roman" w:eastAsia="Times New Roman" w:cs="Times New Roman"/>
          <w:spacing w:val="28"/>
        </w:rPr>
        <w:t xml:space="preserve"> </w:t>
      </w:r>
      <w:r>
        <w:rPr>
          <w:rFonts w:ascii="Times New Roman" w:hAnsi="Times New Roman" w:eastAsia="Times New Roman" w:cs="Times New Roman"/>
          <w:spacing w:val="-1"/>
        </w:rPr>
        <w:t>GAD-7</w:t>
      </w:r>
      <w:r>
        <w:rPr>
          <w:spacing w:val="-1"/>
        </w:rPr>
        <w:t>）和简版老年抑郁量表</w:t>
      </w:r>
      <w:r>
        <w:rPr>
          <w:spacing w:val="-3"/>
        </w:rPr>
        <w:t>（</w:t>
      </w:r>
      <w:r>
        <w:rPr>
          <w:rFonts w:ascii="Times New Roman" w:hAnsi="Times New Roman" w:eastAsia="Times New Roman" w:cs="Times New Roman"/>
          <w:spacing w:val="-3"/>
        </w:rPr>
        <w:t>Geriatric</w:t>
      </w:r>
      <w:r>
        <w:rPr>
          <w:rFonts w:ascii="Times New Roman" w:hAnsi="Times New Roman" w:eastAsia="Times New Roman" w:cs="Times New Roman"/>
          <w:spacing w:val="23"/>
          <w:w w:val="101"/>
        </w:rPr>
        <w:t xml:space="preserve"> </w:t>
      </w:r>
      <w:r>
        <w:rPr>
          <w:rFonts w:ascii="Times New Roman" w:hAnsi="Times New Roman" w:eastAsia="Times New Roman" w:cs="Times New Roman"/>
          <w:spacing w:val="-3"/>
        </w:rPr>
        <w:t>Depression</w:t>
      </w:r>
      <w:r>
        <w:rPr>
          <w:rFonts w:ascii="Times New Roman" w:hAnsi="Times New Roman" w:eastAsia="Times New Roman" w:cs="Times New Roman"/>
          <w:spacing w:val="33"/>
        </w:rPr>
        <w:t xml:space="preserve"> </w:t>
      </w:r>
      <w:r>
        <w:rPr>
          <w:rFonts w:ascii="Times New Roman" w:hAnsi="Times New Roman" w:eastAsia="Times New Roman" w:cs="Times New Roman"/>
          <w:spacing w:val="-3"/>
        </w:rPr>
        <w:t>Scale-15,</w:t>
      </w:r>
      <w:r>
        <w:rPr>
          <w:rFonts w:ascii="Times New Roman" w:hAnsi="Times New Roman" w:eastAsia="Times New Roman" w:cs="Times New Roman"/>
          <w:spacing w:val="26"/>
          <w:w w:val="101"/>
        </w:rPr>
        <w:t xml:space="preserve"> </w:t>
      </w:r>
      <w:r>
        <w:rPr>
          <w:rFonts w:ascii="Times New Roman" w:hAnsi="Times New Roman" w:eastAsia="Times New Roman" w:cs="Times New Roman"/>
          <w:spacing w:val="-3"/>
        </w:rPr>
        <w:t>GDS-15</w:t>
      </w:r>
      <w:r>
        <w:rPr>
          <w:spacing w:val="-3"/>
        </w:rPr>
        <w:t>）。社会健康评估选用老年人社会适应量</w:t>
      </w:r>
      <w:r>
        <w:rPr>
          <w:spacing w:val="-1"/>
        </w:rPr>
        <w:t>表和</w:t>
      </w:r>
      <w:r>
        <w:rPr>
          <w:spacing w:val="-38"/>
        </w:rPr>
        <w:t xml:space="preserve"> </w:t>
      </w:r>
      <w:r>
        <w:rPr>
          <w:rFonts w:ascii="Times New Roman" w:hAnsi="Times New Roman" w:eastAsia="Times New Roman" w:cs="Times New Roman"/>
          <w:spacing w:val="-1"/>
        </w:rPr>
        <w:t>Lubben</w:t>
      </w:r>
      <w:r>
        <w:rPr>
          <w:rFonts w:ascii="Times New Roman" w:hAnsi="Times New Roman" w:eastAsia="Times New Roman" w:cs="Times New Roman"/>
          <w:spacing w:val="18"/>
        </w:rPr>
        <w:t xml:space="preserve"> </w:t>
      </w:r>
      <w:r>
        <w:rPr>
          <w:spacing w:val="-1"/>
        </w:rPr>
        <w:t>社会网络量表，重点反映卧床老年人在社会支持和社会参与方面的</w:t>
      </w:r>
      <w:r>
        <w:t>实际状况，符合长期照护背景下老年人社会</w:t>
      </w:r>
      <w:r>
        <w:rPr>
          <w:spacing w:val="-1"/>
        </w:rPr>
        <w:t>功能评估的现实需求。</w:t>
      </w:r>
    </w:p>
    <w:p w14:paraId="7BFE2E78">
      <w:pPr>
        <w:pStyle w:val="2"/>
        <w:spacing w:before="16" w:line="218" w:lineRule="auto"/>
        <w:ind w:left="510"/>
      </w:pPr>
      <w:r>
        <w:rPr>
          <w:spacing w:val="-1"/>
        </w:rPr>
        <w:t>（2）能力评估相关指标的确定依据</w:t>
      </w:r>
    </w:p>
    <w:p w14:paraId="6C4E2FB8">
      <w:pPr>
        <w:pStyle w:val="2"/>
        <w:spacing w:before="181" w:line="359" w:lineRule="auto"/>
        <w:ind w:left="22" w:right="85" w:firstLine="480"/>
      </w:pPr>
      <w:r>
        <w:rPr>
          <w:spacing w:val="-2"/>
        </w:rPr>
        <w:t>认知能力评估采用“主观量表评估+客观眼动评估</w:t>
      </w:r>
      <w:r>
        <w:rPr>
          <w:spacing w:val="-74"/>
        </w:rPr>
        <w:t xml:space="preserve"> </w:t>
      </w:r>
      <w:r>
        <w:rPr>
          <w:spacing w:val="-2"/>
        </w:rPr>
        <w:t>”相结合的方式。主观评估部分选用蒙特利尔认知评估量表（</w:t>
      </w:r>
      <w:r>
        <w:rPr>
          <w:rFonts w:ascii="Times New Roman" w:hAnsi="Times New Roman" w:eastAsia="Times New Roman" w:cs="Times New Roman"/>
          <w:spacing w:val="-2"/>
        </w:rPr>
        <w:t>Montreal Cognitive</w:t>
      </w:r>
      <w:r>
        <w:rPr>
          <w:rFonts w:ascii="Times New Roman" w:hAnsi="Times New Roman" w:eastAsia="Times New Roman" w:cs="Times New Roman"/>
          <w:spacing w:val="-11"/>
        </w:rPr>
        <w:t xml:space="preserve"> </w:t>
      </w:r>
      <w:r>
        <w:rPr>
          <w:rFonts w:ascii="Times New Roman" w:hAnsi="Times New Roman" w:eastAsia="Times New Roman" w:cs="Times New Roman"/>
          <w:spacing w:val="-2"/>
        </w:rPr>
        <w:t>Assess</w:t>
      </w:r>
      <w:r>
        <w:rPr>
          <w:rFonts w:ascii="Times New Roman" w:hAnsi="Times New Roman" w:eastAsia="Times New Roman" w:cs="Times New Roman"/>
          <w:spacing w:val="-3"/>
        </w:rPr>
        <w:t>ment, MoCA</w:t>
      </w:r>
      <w:r>
        <w:rPr>
          <w:spacing w:val="-3"/>
        </w:rPr>
        <w:t>）和简</w:t>
      </w:r>
      <w:r>
        <w:rPr>
          <w:spacing w:val="-1"/>
        </w:rPr>
        <w:t>易精神状态检查量表（</w:t>
      </w:r>
      <w:r>
        <w:rPr>
          <w:rFonts w:ascii="Times New Roman" w:hAnsi="Times New Roman" w:eastAsia="Times New Roman" w:cs="Times New Roman"/>
          <w:spacing w:val="-1"/>
        </w:rPr>
        <w:t>Mini-Mental</w:t>
      </w:r>
      <w:r>
        <w:rPr>
          <w:rFonts w:ascii="Times New Roman" w:hAnsi="Times New Roman" w:eastAsia="Times New Roman" w:cs="Times New Roman"/>
          <w:spacing w:val="16"/>
        </w:rPr>
        <w:t xml:space="preserve"> </w:t>
      </w:r>
      <w:r>
        <w:rPr>
          <w:rFonts w:ascii="Times New Roman" w:hAnsi="Times New Roman" w:eastAsia="Times New Roman" w:cs="Times New Roman"/>
          <w:spacing w:val="-1"/>
        </w:rPr>
        <w:t>State Examination, MMSE</w:t>
      </w:r>
      <w:r>
        <w:rPr>
          <w:spacing w:val="-54"/>
        </w:rPr>
        <w:t>），</w:t>
      </w:r>
      <w:r>
        <w:rPr>
          <w:spacing w:val="-1"/>
        </w:rPr>
        <w:t>均为国内外广泛</w:t>
      </w:r>
      <w:r>
        <w:rPr>
          <w:spacing w:val="-3"/>
        </w:rPr>
        <w:t>认可的认知功能筛查工具，具有成熟的评分体系和明确的分级标准。客观认知评估部分引入眼动检查技术，其指标体系参考国内相关研究成果和专家共识，涵盖注视、扫视、反扫视和平滑追踪等关键参数，用于补充传统量表在主观性和配合</w:t>
      </w:r>
      <w:r>
        <w:rPr>
          <w:spacing w:val="-1"/>
        </w:rPr>
        <w:t>度方面的不足，提高认知评估结果的客观性和敏感性。</w:t>
      </w:r>
    </w:p>
    <w:p w14:paraId="364FE81F">
      <w:pPr>
        <w:pStyle w:val="2"/>
        <w:spacing w:line="359" w:lineRule="auto"/>
        <w:ind w:left="21" w:firstLine="481"/>
      </w:pPr>
      <w:r>
        <w:t>运动能力评估一级指标设置参考 GB/T 4</w:t>
      </w:r>
      <w:r>
        <w:rPr>
          <w:spacing w:val="-1"/>
        </w:rPr>
        <w:t>2195-2022《老年人能力评估规范》</w:t>
      </w:r>
      <w:r>
        <w:rPr>
          <w:spacing w:val="-3"/>
        </w:rPr>
        <w:t>中关于运动能力的核心维度划分，结合卧床老年人“肢体活动受限、依赖卧床相</w:t>
      </w:r>
      <w:r>
        <w:rPr>
          <w:spacing w:val="-2"/>
        </w:rPr>
        <w:t>关运动</w:t>
      </w:r>
      <w:r>
        <w:rPr>
          <w:spacing w:val="-88"/>
        </w:rPr>
        <w:t xml:space="preserve"> </w:t>
      </w:r>
      <w:r>
        <w:rPr>
          <w:spacing w:val="-2"/>
        </w:rPr>
        <w:t>” 的特点，确定上肢、下肢、躯干、卧床基础运动能力四</w:t>
      </w:r>
      <w:r>
        <w:rPr>
          <w:spacing w:val="-3"/>
        </w:rPr>
        <w:t>大一级指标。</w:t>
      </w:r>
      <w:r>
        <w:t>二级指标依据 SF/T 0096-2021《肢体运动功能评定》中关</w:t>
      </w:r>
      <w:r>
        <w:rPr>
          <w:spacing w:val="-1"/>
        </w:rPr>
        <w:t>于肢体运动功能的关</w:t>
      </w:r>
      <w:r>
        <w:rPr>
          <w:spacing w:val="-7"/>
        </w:rPr>
        <w:t>键评估要素，结合卧床老年人运动能力的实际表现，细化出关节活动</w:t>
      </w:r>
      <w:r>
        <w:rPr>
          <w:spacing w:val="-8"/>
        </w:rPr>
        <w:t>能力、肌力、</w:t>
      </w:r>
      <w:r>
        <w:rPr>
          <w:spacing w:val="-3"/>
        </w:rPr>
        <w:t>肌张力、手部运动、腹肌肌力、卧姿转换等</w:t>
      </w:r>
      <w:r>
        <w:rPr>
          <w:spacing w:val="-19"/>
        </w:rPr>
        <w:t xml:space="preserve"> </w:t>
      </w:r>
      <w:r>
        <w:rPr>
          <w:spacing w:val="-3"/>
        </w:rPr>
        <w:t>14</w:t>
      </w:r>
      <w:r>
        <w:rPr>
          <w:spacing w:val="-46"/>
        </w:rPr>
        <w:t xml:space="preserve"> </w:t>
      </w:r>
      <w:r>
        <w:rPr>
          <w:spacing w:val="-3"/>
        </w:rPr>
        <w:t>项二级指标。</w:t>
      </w:r>
    </w:p>
    <w:p w14:paraId="67D1FA44">
      <w:pPr>
        <w:pStyle w:val="2"/>
        <w:spacing w:before="2" w:line="360" w:lineRule="auto"/>
        <w:ind w:left="23" w:right="85" w:firstLine="483"/>
        <w:jc w:val="both"/>
      </w:pPr>
      <w:r>
        <w:t>关节活动能力评分参考 DB2101/T 0066-20</w:t>
      </w:r>
      <w:r>
        <w:rPr>
          <w:spacing w:val="-1"/>
        </w:rPr>
        <w:t>22《医养结合机构老年人能力评</w:t>
      </w:r>
      <w:r>
        <w:rPr>
          <w:spacing w:val="-3"/>
        </w:rPr>
        <w:t>估规范》中关于关节活动受限程度的分级结合卧床老年人日常活动需求，将其划</w:t>
      </w:r>
      <w:r>
        <w:rPr>
          <w:spacing w:val="-12"/>
        </w:rPr>
        <w:t>分为“可正常进行各项日常活动”“轻微受限</w:t>
      </w:r>
      <w:r>
        <w:rPr>
          <w:spacing w:val="-88"/>
        </w:rPr>
        <w:t xml:space="preserve"> </w:t>
      </w:r>
      <w:r>
        <w:rPr>
          <w:spacing w:val="-12"/>
        </w:rPr>
        <w:t>”“明显受限”“严重受限</w:t>
      </w:r>
      <w:r>
        <w:rPr>
          <w:spacing w:val="-88"/>
        </w:rPr>
        <w:t xml:space="preserve"> </w:t>
      </w:r>
      <w:r>
        <w:rPr>
          <w:spacing w:val="-12"/>
        </w:rPr>
        <w:t>”</w:t>
      </w:r>
      <w:r>
        <w:rPr>
          <w:spacing w:val="-13"/>
        </w:rPr>
        <w:t>四个等</w:t>
      </w:r>
      <w:r>
        <w:rPr>
          <w:spacing w:val="-3"/>
        </w:rPr>
        <w:t>级，对应4-1</w:t>
      </w:r>
      <w:r>
        <w:rPr>
          <w:spacing w:val="-33"/>
        </w:rPr>
        <w:t xml:space="preserve"> </w:t>
      </w:r>
      <w:r>
        <w:rPr>
          <w:spacing w:val="-3"/>
        </w:rPr>
        <w:t>分。肌力评分采用临床通用的肌力分级标准（0-5</w:t>
      </w:r>
      <w:r>
        <w:rPr>
          <w:spacing w:val="-47"/>
        </w:rPr>
        <w:t xml:space="preserve"> </w:t>
      </w:r>
      <w:r>
        <w:rPr>
          <w:spacing w:val="-3"/>
        </w:rPr>
        <w:t>级）。肌张力评分依据康复医学中肌张力评估的经典标准，结合卧床老年人肢体活动特点，将肌</w:t>
      </w:r>
      <w:r>
        <w:rPr>
          <w:spacing w:val="-4"/>
        </w:rPr>
        <w:t>张力分为</w:t>
      </w:r>
      <w:r>
        <w:rPr>
          <w:spacing w:val="-34"/>
        </w:rPr>
        <w:t xml:space="preserve"> </w:t>
      </w:r>
      <w:r>
        <w:rPr>
          <w:spacing w:val="-4"/>
        </w:rPr>
        <w:t>0-4</w:t>
      </w:r>
      <w:r>
        <w:rPr>
          <w:spacing w:val="-47"/>
        </w:rPr>
        <w:t xml:space="preserve"> </w:t>
      </w:r>
      <w:r>
        <w:rPr>
          <w:spacing w:val="-4"/>
        </w:rPr>
        <w:t>级，从“无阻力”到“僵硬状态”逐级划分。手部运动评分参考相</w:t>
      </w:r>
    </w:p>
    <w:p w14:paraId="1C97D2AC">
      <w:pPr>
        <w:spacing w:line="360" w:lineRule="auto"/>
        <w:sectPr>
          <w:pgSz w:w="11905" w:h="16839"/>
          <w:pgMar w:top="1430" w:right="1712" w:bottom="0" w:left="1785" w:header="0" w:footer="0" w:gutter="0"/>
          <w:cols w:space="720" w:num="1"/>
        </w:sectPr>
      </w:pPr>
    </w:p>
    <w:p w14:paraId="4AA4E749">
      <w:pPr>
        <w:pStyle w:val="2"/>
        <w:spacing w:before="48" w:line="359" w:lineRule="auto"/>
        <w:ind w:left="22" w:right="104" w:firstLine="4"/>
      </w:pPr>
      <w:r>
        <w:rPr>
          <w:spacing w:val="-3"/>
        </w:rPr>
        <w:t>关研究中关于老年人手部抓握力、捏力的正常范围数据，结合卧床老年</w:t>
      </w:r>
      <w:r>
        <w:rPr>
          <w:spacing w:val="-4"/>
        </w:rPr>
        <w:t>人的生理</w:t>
      </w:r>
      <w:r>
        <w:rPr>
          <w:spacing w:val="-9"/>
        </w:rPr>
        <w:t>机能特点，设定抓握力（22-31kg</w:t>
      </w:r>
      <w:r>
        <w:rPr>
          <w:spacing w:val="-48"/>
        </w:rPr>
        <w:t xml:space="preserve"> </w:t>
      </w:r>
      <w:r>
        <w:rPr>
          <w:spacing w:val="-9"/>
        </w:rPr>
        <w:t>为</w:t>
      </w:r>
      <w:r>
        <w:rPr>
          <w:spacing w:val="-52"/>
        </w:rPr>
        <w:t xml:space="preserve"> </w:t>
      </w:r>
      <w:r>
        <w:rPr>
          <w:spacing w:val="-9"/>
        </w:rPr>
        <w:t>4</w:t>
      </w:r>
      <w:r>
        <w:rPr>
          <w:spacing w:val="-47"/>
        </w:rPr>
        <w:t xml:space="preserve"> </w:t>
      </w:r>
      <w:r>
        <w:rPr>
          <w:spacing w:val="-9"/>
        </w:rPr>
        <w:t>分、</w:t>
      </w:r>
      <w:r>
        <w:rPr>
          <w:spacing w:val="-10"/>
        </w:rPr>
        <w:t>&lt;15kg</w:t>
      </w:r>
      <w:r>
        <w:rPr>
          <w:spacing w:val="-48"/>
        </w:rPr>
        <w:t xml:space="preserve"> </w:t>
      </w:r>
      <w:r>
        <w:rPr>
          <w:spacing w:val="-10"/>
        </w:rPr>
        <w:t>为</w:t>
      </w:r>
      <w:r>
        <w:rPr>
          <w:spacing w:val="-33"/>
        </w:rPr>
        <w:t xml:space="preserve"> </w:t>
      </w:r>
      <w:r>
        <w:rPr>
          <w:spacing w:val="-10"/>
        </w:rPr>
        <w:t>1</w:t>
      </w:r>
      <w:r>
        <w:rPr>
          <w:spacing w:val="-48"/>
        </w:rPr>
        <w:t xml:space="preserve"> </w:t>
      </w:r>
      <w:r>
        <w:rPr>
          <w:spacing w:val="-10"/>
        </w:rPr>
        <w:t>分）、拇食指捏力（18-26kg</w:t>
      </w:r>
      <w:r>
        <w:rPr>
          <w:spacing w:val="-3"/>
        </w:rPr>
        <w:t>为</w:t>
      </w:r>
      <w:r>
        <w:rPr>
          <w:spacing w:val="-52"/>
        </w:rPr>
        <w:t xml:space="preserve"> </w:t>
      </w:r>
      <w:r>
        <w:rPr>
          <w:spacing w:val="-3"/>
        </w:rPr>
        <w:t>4</w:t>
      </w:r>
      <w:r>
        <w:rPr>
          <w:spacing w:val="-47"/>
        </w:rPr>
        <w:t xml:space="preserve"> </w:t>
      </w:r>
      <w:r>
        <w:rPr>
          <w:spacing w:val="-3"/>
        </w:rPr>
        <w:t>分、&lt;10kg</w:t>
      </w:r>
      <w:r>
        <w:rPr>
          <w:spacing w:val="-48"/>
        </w:rPr>
        <w:t xml:space="preserve"> </w:t>
      </w:r>
      <w:r>
        <w:rPr>
          <w:spacing w:val="-3"/>
        </w:rPr>
        <w:t>为</w:t>
      </w:r>
      <w:r>
        <w:rPr>
          <w:spacing w:val="-33"/>
        </w:rPr>
        <w:t xml:space="preserve"> </w:t>
      </w:r>
      <w:r>
        <w:rPr>
          <w:spacing w:val="-3"/>
        </w:rPr>
        <w:t>1</w:t>
      </w:r>
      <w:r>
        <w:rPr>
          <w:spacing w:val="-48"/>
        </w:rPr>
        <w:t xml:space="preserve"> </w:t>
      </w:r>
      <w:r>
        <w:rPr>
          <w:spacing w:val="-3"/>
        </w:rPr>
        <w:t>分）的评分区间。躯干及卧床基础运动能力评分</w:t>
      </w:r>
      <w:r>
        <w:rPr>
          <w:spacing w:val="-4"/>
        </w:rPr>
        <w:t>：基于卧床</w:t>
      </w:r>
      <w:r>
        <w:rPr>
          <w:spacing w:val="-1"/>
        </w:rPr>
        <w:t>老年人运动的实际场景需求，参考《长期卧床老年人评估及辅具配置指南》</w:t>
      </w:r>
    </w:p>
    <w:p w14:paraId="07BFF720">
      <w:pPr>
        <w:pStyle w:val="2"/>
        <w:spacing w:before="2" w:line="359" w:lineRule="auto"/>
        <w:ind w:left="25" w:right="104" w:firstLine="4"/>
      </w:pPr>
      <w:r>
        <w:rPr>
          <w:spacing w:val="-2"/>
        </w:rPr>
        <w:t>（DB36/T</w:t>
      </w:r>
      <w:r>
        <w:rPr>
          <w:spacing w:val="-25"/>
        </w:rPr>
        <w:t xml:space="preserve"> </w:t>
      </w:r>
      <w:r>
        <w:rPr>
          <w:spacing w:val="-2"/>
        </w:rPr>
        <w:t>1928-2024）中关于卧床运动能力的评估思路，按“独立完成-需协助-</w:t>
      </w:r>
      <w:r>
        <w:rPr>
          <w:spacing w:val="-1"/>
        </w:rPr>
        <w:t>完全依赖”的逻辑划分评分等级。</w:t>
      </w:r>
    </w:p>
    <w:p w14:paraId="3FF7D622">
      <w:pPr>
        <w:pStyle w:val="2"/>
        <w:spacing w:before="6" w:line="358" w:lineRule="auto"/>
        <w:ind w:left="24" w:firstLine="518"/>
        <w:jc w:val="both"/>
      </w:pPr>
      <w:r>
        <w:rPr>
          <w:spacing w:val="-9"/>
        </w:rPr>
        <w:t>自理能力评估在总体思路上借鉴《老年人能力评估规范》（</w:t>
      </w:r>
      <w:r>
        <w:rPr>
          <w:rFonts w:ascii="Times New Roman" w:hAnsi="Times New Roman" w:eastAsia="Times New Roman" w:cs="Times New Roman"/>
          <w:spacing w:val="-9"/>
        </w:rPr>
        <w:t>GB/T 42195-2022</w:t>
      </w:r>
      <w:r>
        <w:rPr>
          <w:spacing w:val="-9"/>
        </w:rPr>
        <w:t>）</w:t>
      </w:r>
      <w:r>
        <w:rPr>
          <w:spacing w:val="-3"/>
        </w:rPr>
        <w:t>和</w:t>
      </w:r>
      <w:r>
        <w:rPr>
          <w:spacing w:val="-56"/>
        </w:rPr>
        <w:t xml:space="preserve"> </w:t>
      </w:r>
      <w:r>
        <w:rPr>
          <w:spacing w:val="-3"/>
        </w:rPr>
        <w:t>Barthel</w:t>
      </w:r>
      <w:r>
        <w:rPr>
          <w:spacing w:val="-48"/>
        </w:rPr>
        <w:t xml:space="preserve"> </w:t>
      </w:r>
      <w:r>
        <w:rPr>
          <w:spacing w:val="-3"/>
        </w:rPr>
        <w:t>指数及相关老年人生活自理能力评定方法，并针对</w:t>
      </w:r>
      <w:r>
        <w:rPr>
          <w:spacing w:val="-4"/>
        </w:rPr>
        <w:t>卧床老年人日常生</w:t>
      </w:r>
      <w:r>
        <w:rPr>
          <w:spacing w:val="-3"/>
        </w:rPr>
        <w:t>活实际，细化至视听觉、进食、清洁、修饰、排泄和移动等多个具体项目，每个条目分级描述方式，明确不同水平对应的具体内容，确保评估结果能够真实反映</w:t>
      </w:r>
      <w:r>
        <w:rPr>
          <w:spacing w:val="-1"/>
        </w:rPr>
        <w:t>卧床老年人的实际自理能力状况，并为照护服务提供明确依据。</w:t>
      </w:r>
    </w:p>
    <w:p w14:paraId="76E23CCB">
      <w:pPr>
        <w:pStyle w:val="2"/>
        <w:spacing w:line="359" w:lineRule="auto"/>
        <w:ind w:left="23" w:right="104" w:firstLine="480"/>
        <w:jc w:val="both"/>
      </w:pPr>
      <w:r>
        <w:rPr>
          <w:spacing w:val="-2"/>
        </w:rPr>
        <w:t xml:space="preserve">通过在北京、天津、福建、四川、浙江、湖南、广东等地 </w:t>
      </w:r>
      <w:r>
        <w:rPr>
          <w:rFonts w:ascii="Times New Roman" w:hAnsi="Times New Roman" w:eastAsia="Times New Roman" w:cs="Times New Roman"/>
          <w:spacing w:val="-2"/>
        </w:rPr>
        <w:t>11</w:t>
      </w:r>
      <w:r>
        <w:rPr>
          <w:rFonts w:ascii="Times New Roman" w:hAnsi="Times New Roman" w:eastAsia="Times New Roman" w:cs="Times New Roman"/>
          <w:spacing w:val="24"/>
        </w:rPr>
        <w:t xml:space="preserve"> </w:t>
      </w:r>
      <w:r>
        <w:rPr>
          <w:spacing w:val="-2"/>
        </w:rPr>
        <w:t>家养老机构进</w:t>
      </w:r>
      <w:r>
        <w:rPr>
          <w:spacing w:val="-3"/>
        </w:rPr>
        <w:t>行数据收集，采用聚类分析，确定卧床老年人认知能力、运动能力和自理能力评</w:t>
      </w:r>
      <w:r>
        <w:rPr>
          <w:spacing w:val="-2"/>
        </w:rPr>
        <w:t>估等级划分范围。</w:t>
      </w:r>
    </w:p>
    <w:p w14:paraId="3C2452FF">
      <w:pPr>
        <w:pStyle w:val="2"/>
        <w:spacing w:before="1" w:line="223" w:lineRule="auto"/>
        <w:ind w:left="515"/>
        <w:outlineLvl w:val="1"/>
        <w:rPr>
          <w:sz w:val="23"/>
          <w:szCs w:val="23"/>
        </w:rPr>
      </w:pPr>
      <w:r>
        <w:rPr>
          <w:b/>
          <w:bCs/>
          <w:spacing w:val="6"/>
          <w:sz w:val="23"/>
          <w:szCs w:val="23"/>
        </w:rPr>
        <w:t>（六）征求意见和采纳情况、</w:t>
      </w:r>
      <w:r>
        <w:rPr>
          <w:spacing w:val="-65"/>
          <w:sz w:val="23"/>
          <w:szCs w:val="23"/>
        </w:rPr>
        <w:t xml:space="preserve"> </w:t>
      </w:r>
      <w:r>
        <w:rPr>
          <w:b/>
          <w:bCs/>
          <w:spacing w:val="6"/>
          <w:sz w:val="23"/>
          <w:szCs w:val="23"/>
        </w:rPr>
        <w:t>不采纳意见的理由；</w:t>
      </w:r>
    </w:p>
    <w:p w14:paraId="3FC3B3D9">
      <w:pPr>
        <w:pStyle w:val="2"/>
        <w:spacing w:before="187" w:line="220" w:lineRule="auto"/>
        <w:ind w:left="511"/>
      </w:pPr>
      <w:r>
        <w:rPr>
          <w:spacing w:val="-5"/>
        </w:rPr>
        <w:t>暂无</w:t>
      </w:r>
    </w:p>
    <w:p w14:paraId="3B5CFE8C">
      <w:pPr>
        <w:pStyle w:val="2"/>
        <w:spacing w:before="180" w:line="223" w:lineRule="auto"/>
        <w:ind w:left="515"/>
        <w:outlineLvl w:val="1"/>
        <w:rPr>
          <w:sz w:val="23"/>
          <w:szCs w:val="23"/>
        </w:rPr>
      </w:pPr>
      <w:r>
        <w:rPr>
          <w:b/>
          <w:bCs/>
          <w:spacing w:val="10"/>
          <w:sz w:val="23"/>
          <w:szCs w:val="23"/>
        </w:rPr>
        <w:t>（七）重大意见分歧的处理结果和依据；</w:t>
      </w:r>
    </w:p>
    <w:p w14:paraId="28E826D1">
      <w:pPr>
        <w:pStyle w:val="2"/>
        <w:spacing w:before="192" w:line="220" w:lineRule="auto"/>
        <w:ind w:left="505"/>
      </w:pPr>
      <w:r>
        <w:t>无</w:t>
      </w:r>
    </w:p>
    <w:p w14:paraId="3EC309C9">
      <w:pPr>
        <w:pStyle w:val="2"/>
        <w:spacing w:before="180" w:line="224" w:lineRule="auto"/>
        <w:ind w:left="515"/>
        <w:outlineLvl w:val="1"/>
        <w:rPr>
          <w:sz w:val="23"/>
          <w:szCs w:val="23"/>
        </w:rPr>
      </w:pPr>
      <w:r>
        <w:rPr>
          <w:b/>
          <w:bCs/>
          <w:spacing w:val="9"/>
          <w:sz w:val="23"/>
          <w:szCs w:val="23"/>
        </w:rPr>
        <w:t>（八）根据需要提出实施标准的建议；</w:t>
      </w:r>
    </w:p>
    <w:p w14:paraId="79B1A034">
      <w:pPr>
        <w:pStyle w:val="2"/>
        <w:spacing w:before="264" w:line="224" w:lineRule="auto"/>
        <w:ind w:left="530"/>
        <w:outlineLvl w:val="2"/>
        <w:rPr>
          <w:sz w:val="23"/>
          <w:szCs w:val="23"/>
        </w:rPr>
      </w:pPr>
      <w:r>
        <w:rPr>
          <w:b/>
          <w:bCs/>
          <w:spacing w:val="7"/>
          <w:sz w:val="23"/>
          <w:szCs w:val="23"/>
        </w:rPr>
        <w:t>1.组织实施建议</w:t>
      </w:r>
    </w:p>
    <w:p w14:paraId="2BE9FDE0">
      <w:pPr>
        <w:pStyle w:val="2"/>
        <w:spacing w:before="189" w:line="220" w:lineRule="auto"/>
        <w:ind w:left="510"/>
      </w:pPr>
      <w:r>
        <w:rPr>
          <w:spacing w:val="-2"/>
        </w:rPr>
        <w:t>（</w:t>
      </w:r>
      <w:r>
        <w:rPr>
          <w:rFonts w:ascii="Times New Roman" w:hAnsi="Times New Roman" w:eastAsia="Times New Roman" w:cs="Times New Roman"/>
          <w:spacing w:val="-2"/>
        </w:rPr>
        <w:t>1</w:t>
      </w:r>
      <w:r>
        <w:rPr>
          <w:spacing w:val="-2"/>
        </w:rPr>
        <w:t>）明确实施主体</w:t>
      </w:r>
    </w:p>
    <w:p w14:paraId="6AF0B42A">
      <w:pPr>
        <w:pStyle w:val="2"/>
        <w:spacing w:before="179" w:line="361" w:lineRule="auto"/>
        <w:ind w:left="24" w:right="104" w:firstLine="481"/>
      </w:pPr>
      <w:r>
        <w:rPr>
          <w:spacing w:val="-3"/>
        </w:rPr>
        <w:t>各级医疗机构、养老机构、社区居家照护服务中心的医</w:t>
      </w:r>
      <w:r>
        <w:rPr>
          <w:spacing w:val="-4"/>
        </w:rPr>
        <w:t>务人员、护理人员及</w:t>
      </w:r>
      <w:r>
        <w:rPr>
          <w:spacing w:val="-3"/>
        </w:rPr>
        <w:t>其他健康照护相关人员为标准实施的核心主体，建议相关机构明确专人负责卧床</w:t>
      </w:r>
      <w:r>
        <w:rPr>
          <w:spacing w:val="-1"/>
        </w:rPr>
        <w:t>老年人运动能力评估工作的组织与落实。</w:t>
      </w:r>
    </w:p>
    <w:p w14:paraId="612558B1">
      <w:pPr>
        <w:pStyle w:val="2"/>
        <w:spacing w:before="1" w:line="218" w:lineRule="auto"/>
        <w:ind w:left="510"/>
      </w:pPr>
      <w:r>
        <w:rPr>
          <w:spacing w:val="-2"/>
        </w:rPr>
        <w:t>（</w:t>
      </w:r>
      <w:r>
        <w:rPr>
          <w:rFonts w:ascii="Times New Roman" w:hAnsi="Times New Roman" w:eastAsia="Times New Roman" w:cs="Times New Roman"/>
          <w:spacing w:val="-2"/>
        </w:rPr>
        <w:t>2</w:t>
      </w:r>
      <w:r>
        <w:rPr>
          <w:spacing w:val="-2"/>
        </w:rPr>
        <w:t>）建立培训机制</w:t>
      </w:r>
    </w:p>
    <w:p w14:paraId="3674D542">
      <w:pPr>
        <w:pStyle w:val="2"/>
        <w:spacing w:before="180" w:line="361" w:lineRule="auto"/>
        <w:ind w:left="24" w:right="104" w:firstLine="480"/>
      </w:pPr>
      <w:r>
        <w:rPr>
          <w:spacing w:val="-3"/>
        </w:rPr>
        <w:t>开展标准化培训工作，培训内容应包括评估指标解读、评分</w:t>
      </w:r>
      <w:r>
        <w:rPr>
          <w:spacing w:val="-4"/>
        </w:rPr>
        <w:t>标准掌握、操作</w:t>
      </w:r>
      <w:r>
        <w:rPr>
          <w:spacing w:val="-3"/>
        </w:rPr>
        <w:t>流程规范、评估工具使用等核心内容，通过理论授课、实操演示、案例分析等方</w:t>
      </w:r>
      <w:r>
        <w:rPr>
          <w:spacing w:val="-1"/>
        </w:rPr>
        <w:t>式，确保评估人员全面掌握标准要求，考核合格后</w:t>
      </w:r>
      <w:r>
        <w:rPr>
          <w:spacing w:val="-2"/>
        </w:rPr>
        <w:t>方可开展评估工作。</w:t>
      </w:r>
    </w:p>
    <w:p w14:paraId="6154CEFF">
      <w:pPr>
        <w:pStyle w:val="2"/>
        <w:spacing w:line="218" w:lineRule="auto"/>
        <w:ind w:left="510"/>
      </w:pPr>
      <w:r>
        <w:rPr>
          <w:spacing w:val="-2"/>
        </w:rPr>
        <w:t>（</w:t>
      </w:r>
      <w:r>
        <w:rPr>
          <w:rFonts w:ascii="Times New Roman" w:hAnsi="Times New Roman" w:eastAsia="Times New Roman" w:cs="Times New Roman"/>
          <w:spacing w:val="-2"/>
        </w:rPr>
        <w:t>3</w:t>
      </w:r>
      <w:r>
        <w:rPr>
          <w:spacing w:val="-2"/>
        </w:rPr>
        <w:t>）规范评估流程</w:t>
      </w:r>
    </w:p>
    <w:p w14:paraId="1EEC376E">
      <w:pPr>
        <w:pStyle w:val="2"/>
        <w:spacing w:before="182" w:line="218" w:lineRule="auto"/>
        <w:ind w:left="506"/>
      </w:pPr>
      <w:r>
        <w:rPr>
          <w:spacing w:val="-4"/>
        </w:rPr>
        <w:t>建立“评估前准备-评估实施-结果记录-报告生成-后续跟进</w:t>
      </w:r>
      <w:r>
        <w:rPr>
          <w:spacing w:val="-88"/>
        </w:rPr>
        <w:t xml:space="preserve"> </w:t>
      </w:r>
      <w:r>
        <w:rPr>
          <w:spacing w:val="-4"/>
        </w:rPr>
        <w:t>”的全流程管理</w:t>
      </w:r>
    </w:p>
    <w:p w14:paraId="65F838E5">
      <w:pPr>
        <w:spacing w:line="218" w:lineRule="auto"/>
        <w:sectPr>
          <w:pgSz w:w="11905" w:h="16839"/>
          <w:pgMar w:top="1430" w:right="1693" w:bottom="0" w:left="1785" w:header="0" w:footer="0" w:gutter="0"/>
          <w:cols w:space="720" w:num="1"/>
        </w:sectPr>
      </w:pPr>
    </w:p>
    <w:p w14:paraId="0E624224">
      <w:pPr>
        <w:pStyle w:val="2"/>
        <w:spacing w:before="125" w:line="359" w:lineRule="auto"/>
        <w:ind w:left="22" w:right="66"/>
        <w:jc w:val="both"/>
      </w:pPr>
      <w:r>
        <w:rPr>
          <w:spacing w:val="-3"/>
        </w:rPr>
        <w:t>机制。评估前需检查评估环境、仪器设备是否符合要求，确认卧床老年人身体状态适宜评估；评估过程中严格按照标准要求逐项评估，确保数据真实准确；评估</w:t>
      </w:r>
      <w:r>
        <w:rPr>
          <w:spacing w:val="-1"/>
        </w:rPr>
        <w:t>后及时完成结果记录与报告生成，并根据评估结果调整护</w:t>
      </w:r>
      <w:r>
        <w:rPr>
          <w:spacing w:val="-2"/>
        </w:rPr>
        <w:t>理或康复计划。</w:t>
      </w:r>
    </w:p>
    <w:p w14:paraId="0BE91810">
      <w:pPr>
        <w:pStyle w:val="2"/>
        <w:spacing w:line="220" w:lineRule="auto"/>
        <w:ind w:left="510"/>
      </w:pPr>
      <w:r>
        <w:rPr>
          <w:spacing w:val="-2"/>
        </w:rPr>
        <w:t>（</w:t>
      </w:r>
      <w:r>
        <w:rPr>
          <w:rFonts w:ascii="Times New Roman" w:hAnsi="Times New Roman" w:eastAsia="Times New Roman" w:cs="Times New Roman"/>
          <w:spacing w:val="-2"/>
        </w:rPr>
        <w:t>4</w:t>
      </w:r>
      <w:r>
        <w:rPr>
          <w:spacing w:val="-2"/>
        </w:rPr>
        <w:t>）加强质量控制</w:t>
      </w:r>
    </w:p>
    <w:p w14:paraId="27707EA7">
      <w:pPr>
        <w:pStyle w:val="2"/>
        <w:spacing w:before="182" w:line="340" w:lineRule="auto"/>
        <w:ind w:left="22" w:right="2" w:firstLine="480"/>
      </w:pPr>
      <w:r>
        <w:rPr>
          <w:spacing w:val="-3"/>
        </w:rPr>
        <w:t>相关机构应建立评估质量监督机制，定期对评估工作进行抽查</w:t>
      </w:r>
      <w:r>
        <w:rPr>
          <w:spacing w:val="-4"/>
        </w:rPr>
        <w:t>与复核，检查</w:t>
      </w:r>
      <w:r>
        <w:rPr>
          <w:spacing w:val="-8"/>
        </w:rPr>
        <w:t>评估流程的规范性、评分结果的准确性，及时发现并纠正实施过程中存在的问题；</w:t>
      </w:r>
      <w:r>
        <w:rPr>
          <w:spacing w:val="-1"/>
        </w:rPr>
        <w:t>同时收集评估人员、照护者及老年人的反馈意见，为标准</w:t>
      </w:r>
      <w:r>
        <w:rPr>
          <w:spacing w:val="-2"/>
        </w:rPr>
        <w:t>的后续修订提供依据。</w:t>
      </w:r>
    </w:p>
    <w:p w14:paraId="4D7956B5">
      <w:pPr>
        <w:pStyle w:val="2"/>
        <w:spacing w:before="1" w:line="218" w:lineRule="auto"/>
        <w:ind w:left="510"/>
      </w:pPr>
      <w:r>
        <w:rPr>
          <w:spacing w:val="-2"/>
        </w:rPr>
        <w:t>（</w:t>
      </w:r>
      <w:r>
        <w:rPr>
          <w:rFonts w:ascii="Times New Roman" w:hAnsi="Times New Roman" w:eastAsia="Times New Roman" w:cs="Times New Roman"/>
          <w:spacing w:val="-2"/>
        </w:rPr>
        <w:t>5</w:t>
      </w:r>
      <w:r>
        <w:rPr>
          <w:spacing w:val="-2"/>
        </w:rPr>
        <w:t>）建立反馈机制</w:t>
      </w:r>
    </w:p>
    <w:p w14:paraId="564E2D2D">
      <w:pPr>
        <w:pStyle w:val="2"/>
        <w:spacing w:before="187" w:line="359" w:lineRule="auto"/>
        <w:ind w:left="36" w:right="66" w:firstLine="465"/>
      </w:pPr>
      <w:r>
        <w:rPr>
          <w:spacing w:val="-3"/>
        </w:rPr>
        <w:t>在标准实施过程中，建立畅通的反馈渠道，收集使用者意见，将</w:t>
      </w:r>
      <w:r>
        <w:rPr>
          <w:spacing w:val="-4"/>
        </w:rPr>
        <w:t>实践中发现</w:t>
      </w:r>
      <w:r>
        <w:rPr>
          <w:spacing w:val="-3"/>
        </w:rPr>
        <w:t>的问题作为标准后续修订和完善的重要依据，确保</w:t>
      </w:r>
      <w:r>
        <w:rPr>
          <w:spacing w:val="-4"/>
        </w:rPr>
        <w:t>标准持续适配行业发展和服务</w:t>
      </w:r>
      <w:r>
        <w:rPr>
          <w:spacing w:val="-2"/>
        </w:rPr>
        <w:t>需求。为标准的后续修订和完善积累实践依据。</w:t>
      </w:r>
    </w:p>
    <w:p w14:paraId="48FCC488">
      <w:pPr>
        <w:pStyle w:val="2"/>
        <w:spacing w:before="77" w:line="224" w:lineRule="auto"/>
        <w:ind w:left="515"/>
        <w:outlineLvl w:val="2"/>
        <w:rPr>
          <w:sz w:val="23"/>
          <w:szCs w:val="23"/>
        </w:rPr>
      </w:pPr>
      <w:r>
        <w:rPr>
          <w:b/>
          <w:bCs/>
          <w:spacing w:val="8"/>
          <w:sz w:val="23"/>
          <w:szCs w:val="23"/>
        </w:rPr>
        <w:t>2.技术实施建议</w:t>
      </w:r>
    </w:p>
    <w:p w14:paraId="069E625B">
      <w:pPr>
        <w:pStyle w:val="2"/>
        <w:spacing w:before="186" w:line="220" w:lineRule="auto"/>
        <w:ind w:left="510"/>
      </w:pPr>
      <w:r>
        <w:rPr>
          <w:spacing w:val="-2"/>
        </w:rPr>
        <w:t>（</w:t>
      </w:r>
      <w:r>
        <w:rPr>
          <w:rFonts w:ascii="Times New Roman" w:hAnsi="Times New Roman" w:eastAsia="Times New Roman" w:cs="Times New Roman"/>
          <w:spacing w:val="-2"/>
        </w:rPr>
        <w:t>1</w:t>
      </w:r>
      <w:r>
        <w:rPr>
          <w:spacing w:val="-2"/>
        </w:rPr>
        <w:t>）仪器设备配置</w:t>
      </w:r>
    </w:p>
    <w:p w14:paraId="2FBB8CD7">
      <w:pPr>
        <w:pStyle w:val="2"/>
        <w:spacing w:before="184" w:line="354" w:lineRule="auto"/>
        <w:ind w:left="21" w:firstLine="483"/>
      </w:pPr>
      <w:r>
        <w:rPr>
          <w:spacing w:val="-3"/>
        </w:rPr>
        <w:t>按照标准要求配备齐全评估所需仪器设备，包括电子握力计（量</w:t>
      </w:r>
      <w:r>
        <w:rPr>
          <w:spacing w:val="-4"/>
        </w:rPr>
        <w:t xml:space="preserve">程 </w:t>
      </w:r>
      <w:r>
        <w:rPr>
          <w:rFonts w:ascii="Times New Roman" w:hAnsi="Times New Roman" w:eastAsia="Times New Roman" w:cs="Times New Roman"/>
          <w:spacing w:val="-4"/>
        </w:rPr>
        <w:t>0-90kg</w:t>
      </w:r>
      <w:r>
        <w:rPr>
          <w:spacing w:val="-4"/>
        </w:rPr>
        <w:t>，</w:t>
      </w:r>
      <w:r>
        <w:rPr>
          <w:spacing w:val="-6"/>
        </w:rPr>
        <w:t xml:space="preserve">分度值 </w:t>
      </w:r>
      <w:r>
        <w:rPr>
          <w:rFonts w:ascii="Times New Roman" w:hAnsi="Times New Roman" w:eastAsia="Times New Roman" w:cs="Times New Roman"/>
          <w:spacing w:val="-6"/>
        </w:rPr>
        <w:t>0.1kg</w:t>
      </w:r>
      <w:r>
        <w:rPr>
          <w:spacing w:val="-6"/>
        </w:rPr>
        <w:t>）等，确保仪器设备性能稳定、精度达标，并定期进行校准与维护，</w:t>
      </w:r>
      <w:r>
        <w:rPr>
          <w:spacing w:val="-1"/>
        </w:rPr>
        <w:t>避免因仪器问题影响评估结果。</w:t>
      </w:r>
    </w:p>
    <w:p w14:paraId="1786DA1D">
      <w:pPr>
        <w:pStyle w:val="2"/>
        <w:spacing w:before="22" w:line="218" w:lineRule="auto"/>
        <w:ind w:left="510"/>
      </w:pPr>
      <w:r>
        <w:rPr>
          <w:spacing w:val="-2"/>
        </w:rPr>
        <w:t>（</w:t>
      </w:r>
      <w:r>
        <w:rPr>
          <w:rFonts w:ascii="Times New Roman" w:hAnsi="Times New Roman" w:eastAsia="Times New Roman" w:cs="Times New Roman"/>
          <w:spacing w:val="-2"/>
        </w:rPr>
        <w:t>2</w:t>
      </w:r>
      <w:r>
        <w:rPr>
          <w:spacing w:val="-2"/>
        </w:rPr>
        <w:t>）评估环境优化</w:t>
      </w:r>
    </w:p>
    <w:p w14:paraId="33C3B4B5">
      <w:pPr>
        <w:pStyle w:val="2"/>
        <w:spacing w:before="188" w:line="359" w:lineRule="auto"/>
        <w:ind w:left="27" w:right="78" w:firstLine="477"/>
      </w:pPr>
      <w:r>
        <w:rPr>
          <w:spacing w:val="-15"/>
        </w:rPr>
        <w:t>严格遵循评估环境要求，确保评估区域整洁、安静、光线充足、温度（</w:t>
      </w:r>
      <w:r>
        <w:rPr>
          <w:rFonts w:ascii="Times New Roman" w:hAnsi="Times New Roman" w:eastAsia="Times New Roman" w:cs="Times New Roman"/>
          <w:spacing w:val="-15"/>
        </w:rPr>
        <w:t>22-24℃</w:t>
      </w:r>
      <w:r>
        <w:rPr>
          <w:spacing w:val="-15"/>
        </w:rPr>
        <w:t>)</w:t>
      </w:r>
      <w:r>
        <w:rPr>
          <w:spacing w:val="-3"/>
        </w:rPr>
        <w:t>与湿度（</w:t>
      </w:r>
      <w:r>
        <w:rPr>
          <w:rFonts w:ascii="Times New Roman" w:hAnsi="Times New Roman" w:eastAsia="Times New Roman" w:cs="Times New Roman"/>
          <w:spacing w:val="-3"/>
        </w:rPr>
        <w:t>40%-60%</w:t>
      </w:r>
      <w:r>
        <w:rPr>
          <w:spacing w:val="-3"/>
        </w:rPr>
        <w:t>）适宜，安装带有扶手且平整防滑的通道，清</w:t>
      </w:r>
      <w:r>
        <w:rPr>
          <w:spacing w:val="-4"/>
        </w:rPr>
        <w:t>除无关物品，为</w:t>
      </w:r>
      <w:r>
        <w:rPr>
          <w:spacing w:val="-1"/>
        </w:rPr>
        <w:t>老年人提供安全、舒适的评估环境，同时避免外界干扰影响评估结果。</w:t>
      </w:r>
    </w:p>
    <w:p w14:paraId="3F02E04A">
      <w:pPr>
        <w:pStyle w:val="2"/>
        <w:spacing w:before="1" w:line="219" w:lineRule="auto"/>
        <w:ind w:left="510"/>
      </w:pPr>
      <w:r>
        <w:rPr>
          <w:spacing w:val="-2"/>
        </w:rPr>
        <w:t>（</w:t>
      </w:r>
      <w:r>
        <w:rPr>
          <w:rFonts w:ascii="Times New Roman" w:hAnsi="Times New Roman" w:eastAsia="Times New Roman" w:cs="Times New Roman"/>
          <w:spacing w:val="-2"/>
        </w:rPr>
        <w:t>3</w:t>
      </w:r>
      <w:r>
        <w:rPr>
          <w:spacing w:val="-2"/>
        </w:rPr>
        <w:t>）适配特殊人群</w:t>
      </w:r>
    </w:p>
    <w:p w14:paraId="109B6804">
      <w:pPr>
        <w:pStyle w:val="2"/>
        <w:spacing w:before="185" w:line="360" w:lineRule="auto"/>
        <w:ind w:left="22" w:right="66" w:firstLine="480"/>
      </w:pPr>
      <w:r>
        <w:rPr>
          <w:spacing w:val="-3"/>
        </w:rPr>
        <w:t>针对意识昏迷、心功能四级等特殊卧床老年人，按照标准要求</w:t>
      </w:r>
      <w:r>
        <w:rPr>
          <w:spacing w:val="-4"/>
        </w:rPr>
        <w:t>直接评定为认</w:t>
      </w:r>
      <w:r>
        <w:rPr>
          <w:spacing w:val="-3"/>
        </w:rPr>
        <w:t>知能力、运动能力极重度受损，自理能力重度受损，无需开展后续详细评估；对于配合度较低的老年人，评估人员应耐心引导，可适当调整评估顺序或分段完成</w:t>
      </w:r>
      <w:r>
        <w:rPr>
          <w:spacing w:val="-1"/>
        </w:rPr>
        <w:t>评估，确保评估工作顺利推进。</w:t>
      </w:r>
    </w:p>
    <w:p w14:paraId="31EB01CF">
      <w:pPr>
        <w:pStyle w:val="2"/>
        <w:spacing w:line="219" w:lineRule="auto"/>
        <w:ind w:left="510"/>
      </w:pPr>
      <w:r>
        <w:rPr>
          <w:spacing w:val="-2"/>
        </w:rPr>
        <w:t>（</w:t>
      </w:r>
      <w:r>
        <w:rPr>
          <w:rFonts w:ascii="Times New Roman" w:hAnsi="Times New Roman" w:eastAsia="Times New Roman" w:cs="Times New Roman"/>
          <w:spacing w:val="-2"/>
        </w:rPr>
        <w:t>4</w:t>
      </w:r>
      <w:r>
        <w:rPr>
          <w:spacing w:val="-2"/>
        </w:rPr>
        <w:t>）数据管理与应用</w:t>
      </w:r>
    </w:p>
    <w:p w14:paraId="2F30E787">
      <w:pPr>
        <w:pStyle w:val="2"/>
        <w:spacing w:before="183" w:line="361" w:lineRule="auto"/>
        <w:ind w:left="23" w:right="66" w:firstLine="482"/>
      </w:pPr>
      <w:r>
        <w:rPr>
          <w:spacing w:val="-3"/>
        </w:rPr>
        <w:t>建立卧床老年人运动能力评估数据库，对评估数据进行</w:t>
      </w:r>
      <w:r>
        <w:rPr>
          <w:spacing w:val="-4"/>
        </w:rPr>
        <w:t>系统化管理，便于跟</w:t>
      </w:r>
      <w:r>
        <w:rPr>
          <w:spacing w:val="-3"/>
        </w:rPr>
        <w:t>踪老年人运动能力变化趋势；将评估结果与健康状态、认知能力、自理能力等其他评估维度相结合，为制定个性化护理计划、康复干预方案提供综合依据，同时</w:t>
      </w:r>
      <w:r>
        <w:rPr>
          <w:spacing w:val="-1"/>
        </w:rPr>
        <w:t>为养老服务资源的合理配置提供数据支撑。</w:t>
      </w:r>
    </w:p>
    <w:p w14:paraId="27EE5B11">
      <w:pPr>
        <w:spacing w:line="361" w:lineRule="auto"/>
        <w:sectPr>
          <w:pgSz w:w="11905" w:h="16839"/>
          <w:pgMar w:top="1431" w:right="1731" w:bottom="0" w:left="1785" w:header="0" w:footer="0" w:gutter="0"/>
          <w:cols w:space="720" w:num="1"/>
        </w:sectPr>
      </w:pPr>
    </w:p>
    <w:p w14:paraId="53F56266">
      <w:pPr>
        <w:pStyle w:val="2"/>
        <w:spacing w:before="46" w:line="361" w:lineRule="auto"/>
        <w:ind w:left="505" w:right="4753" w:firstLine="4"/>
      </w:pPr>
      <w:r>
        <w:rPr>
          <w:spacing w:val="-4"/>
        </w:rPr>
        <w:t>（九）其他应予说明的事项。</w:t>
      </w:r>
      <w:r>
        <w:t>无</w:t>
      </w:r>
    </w:p>
    <w:sectPr>
      <w:pgSz w:w="11905" w:h="16839"/>
      <w:pgMar w:top="1430"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CB56A5F"/>
    <w:rsid w:val="26EC3303"/>
    <w:rsid w:val="59C452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6365</Words>
  <Characters>6793</Characters>
  <TotalTime>0</TotalTime>
  <ScaleCrop>false</ScaleCrop>
  <LinksUpToDate>false</LinksUpToDate>
  <CharactersWithSpaces>6923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2026-02-28T15:44:00Z</dcterms:created>
  <dc:creator>Lenovo</dc:creator>
  <cp:lastModifiedBy>zhangsir</cp:lastModifiedBy>
  <dcterms:modified xsi:type="dcterms:W3CDTF">2026-03-06T09:30:18Z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2026-03-06T17:16:48Z</vt:filetime>
  </property>
  <property fmtid="{D5CDD505-2E9C-101B-9397-08002B2CF9AE}" pid="4" name="KSOProductBuildVer">
    <vt:lpwstr>2052-12.1.0.25225</vt:lpwstr>
  </property>
  <property fmtid="{D5CDD505-2E9C-101B-9397-08002B2CF9AE}" pid="5" name="ICV">
    <vt:lpwstr>856412819E714CFC952B75BD3D874763_13</vt:lpwstr>
  </property>
  <property fmtid="{D5CDD505-2E9C-101B-9397-08002B2CF9AE}" pid="6" name="KSOTemplateDocerSaveRecord">
    <vt:lpwstr>eyJoZGlkIjoiMjFhYjg0NTMzNmMxNzk5NzQ2Nzg2NjkzNDM4OTMzMTQiLCJ1c2VySWQiOiIzMjkzNTA1OTEifQ==</vt:lpwstr>
  </property>
</Properties>
</file>