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30C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C407C0F">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CD43A92">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CD1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3363D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595DE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52073359">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61111215">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2"/>
          </w:p>
        </w:tc>
      </w:tr>
    </w:tbl>
    <w:p w14:paraId="4AD0FBF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1AAF2392">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4DAFF741">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2AB90D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E55C96D">
      <w:pPr>
        <w:pStyle w:val="50"/>
        <w:framePr w:w="9639" w:h="6976" w:hRule="exact" w:hSpace="0" w:vSpace="0" w:wrap="around" w:hAnchor="page" w:y="6408"/>
        <w:jc w:val="center"/>
        <w:rPr>
          <w:rFonts w:ascii="黑体" w:hAnsi="黑体" w:eastAsia="黑体"/>
          <w:b w:val="0"/>
          <w:bCs w:val="0"/>
          <w:w w:val="100"/>
        </w:rPr>
      </w:pPr>
    </w:p>
    <w:p w14:paraId="21A32A83">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利什曼原虫标准株评价技术标准</w:t>
      </w:r>
      <w:r>
        <w:fldChar w:fldCharType="end"/>
      </w:r>
      <w:bookmarkEnd w:id="9"/>
    </w:p>
    <w:p w14:paraId="3F6692B6">
      <w:pPr>
        <w:framePr w:w="9639" w:h="6974" w:hRule="exact" w:wrap="around" w:vAnchor="page" w:hAnchor="page" w:x="1419" w:y="6408" w:anchorLock="1"/>
        <w:ind w:left="-1418"/>
      </w:pPr>
    </w:p>
    <w:p w14:paraId="6B03E69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sandard for the evaluation of Leishmania reference strains</w:t>
      </w:r>
      <w:r>
        <w:rPr>
          <w:rFonts w:eastAsia="黑体"/>
          <w:szCs w:val="28"/>
        </w:rPr>
        <w:fldChar w:fldCharType="end"/>
      </w:r>
      <w:bookmarkEnd w:id="10"/>
    </w:p>
    <w:p w14:paraId="28C7FD41">
      <w:pPr>
        <w:framePr w:w="9639" w:h="6974" w:hRule="exact" w:wrap="around" w:vAnchor="page" w:hAnchor="page" w:x="1419" w:y="6408" w:anchorLock="1"/>
        <w:spacing w:line="760" w:lineRule="exact"/>
        <w:ind w:left="-1418"/>
      </w:pPr>
    </w:p>
    <w:p w14:paraId="4F3AD4A9">
      <w:pPr>
        <w:pStyle w:val="125"/>
        <w:framePr w:w="9639" w:h="6974" w:hRule="exact" w:wrap="around" w:vAnchor="page" w:hAnchor="page" w:x="1419" w:y="6408" w:anchorLock="1"/>
        <w:textAlignment w:val="bottom"/>
        <w:rPr>
          <w:rFonts w:eastAsia="黑体"/>
          <w:szCs w:val="28"/>
        </w:rPr>
      </w:pPr>
    </w:p>
    <w:p w14:paraId="514509C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6E3E028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bookmarkStart w:id="73" w:name="_GoBack"/>
      <w:bookmarkEnd w:id="73"/>
      <w:r>
        <w:rPr>
          <w:sz w:val="21"/>
          <w:szCs w:val="28"/>
        </w:rPr>
        <w:t>     </w:t>
      </w:r>
      <w:r>
        <w:rPr>
          <w:sz w:val="21"/>
          <w:szCs w:val="28"/>
        </w:rPr>
        <w:fldChar w:fldCharType="end"/>
      </w:r>
      <w:bookmarkEnd w:id="12"/>
    </w:p>
    <w:p w14:paraId="4434B128">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75FDC1F">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B79C9A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1114DAD2">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中国民族卫生协会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79334F">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2368EEA">
      <w:pPr>
        <w:pStyle w:val="91"/>
        <w:spacing w:after="360"/>
      </w:pPr>
      <w:bookmarkStart w:id="21" w:name="BookMark1"/>
      <w:bookmarkStart w:id="22" w:name="_Toc201759902"/>
      <w:r>
        <w:rPr>
          <w:rFonts w:hint="eastAsia"/>
          <w:spacing w:val="320"/>
        </w:rPr>
        <w:t>目</w:t>
      </w:r>
      <w:r>
        <w:rPr>
          <w:rFonts w:hint="eastAsia"/>
        </w:rPr>
        <w:t>次</w:t>
      </w:r>
    </w:p>
    <w:p w14:paraId="55BBDEE3">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"_Toc212127182" </w:instrText>
      </w:r>
      <w:r>
        <w:fldChar w:fldCharType="separate"/>
      </w:r>
      <w:r>
        <w:rPr>
          <w:rStyle w:val="32"/>
          <w:rFonts w:hint="eastAsia"/>
          <w:spacing w:val="320"/>
        </w:rPr>
        <w:t>前</w:t>
      </w:r>
      <w:r>
        <w:rPr>
          <w:rStyle w:val="32"/>
          <w:rFonts w:hint="eastAsia"/>
        </w:rPr>
        <w:t>言</w:t>
      </w:r>
      <w:r>
        <w:tab/>
      </w:r>
      <w:r>
        <w:fldChar w:fldCharType="begin"/>
      </w:r>
      <w:r>
        <w:instrText xml:space="preserve"> PAGEREF _Toc212127182 \h </w:instrText>
      </w:r>
      <w:r>
        <w:fldChar w:fldCharType="separate"/>
      </w:r>
      <w:r>
        <w:t>II</w:t>
      </w:r>
      <w:r>
        <w:fldChar w:fldCharType="end"/>
      </w:r>
      <w:r>
        <w:fldChar w:fldCharType="end"/>
      </w:r>
    </w:p>
    <w:p w14:paraId="38CD04D5">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"_Toc212127183" </w:instrText>
      </w:r>
      <w:r>
        <w:fldChar w:fldCharType="separate"/>
      </w:r>
      <w:r>
        <w:rPr>
          <w:rStyle w:val="32"/>
          <w:rFonts w:hint="eastAsia" w:ascii="Times New Roman"/>
          <w:spacing w:val="320"/>
        </w:rPr>
        <w:t>引</w:t>
      </w:r>
      <w:r>
        <w:rPr>
          <w:rStyle w:val="32"/>
          <w:rFonts w:hint="eastAsia" w:ascii="Times New Roman"/>
        </w:rPr>
        <w:t>言</w:t>
      </w:r>
      <w:r>
        <w:tab/>
      </w:r>
      <w:r>
        <w:fldChar w:fldCharType="begin"/>
      </w:r>
      <w:r>
        <w:instrText xml:space="preserve"> PAGEREF _Toc212127183 \h </w:instrText>
      </w:r>
      <w:r>
        <w:fldChar w:fldCharType="separate"/>
      </w:r>
      <w:r>
        <w:t>III</w:t>
      </w:r>
      <w:r>
        <w:fldChar w:fldCharType="end"/>
      </w:r>
      <w:r>
        <w:fldChar w:fldCharType="end"/>
      </w:r>
    </w:p>
    <w:p w14:paraId="378C9AE4">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"_Toc212127184" </w:instrText>
      </w:r>
      <w:r>
        <w:fldChar w:fldCharType="separate"/>
      </w:r>
      <w:r>
        <w:rPr>
          <w:rStyle w:val="32"/>
        </w:rPr>
        <w:t>1</w:t>
      </w:r>
      <w:r>
        <w:rPr>
          <w:rStyle w:val="32"/>
          <w:rFonts w:hint="eastAsia" w:ascii="Times New Roman"/>
        </w:rPr>
        <w:t xml:space="preserve"> 范围</w:t>
      </w:r>
      <w:r>
        <w:tab/>
      </w:r>
      <w:r>
        <w:fldChar w:fldCharType="begin"/>
      </w:r>
      <w:r>
        <w:instrText xml:space="preserve"> PAGEREF _Toc212127184 \h </w:instrText>
      </w:r>
      <w:r>
        <w:fldChar w:fldCharType="separate"/>
      </w:r>
      <w:r>
        <w:t>1</w:t>
      </w:r>
      <w:r>
        <w:fldChar w:fldCharType="end"/>
      </w:r>
      <w:r>
        <w:fldChar w:fldCharType="end"/>
      </w:r>
    </w:p>
    <w:p w14:paraId="39869E35">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"_Toc212127185" </w:instrText>
      </w:r>
      <w:r>
        <w:fldChar w:fldCharType="separate"/>
      </w:r>
      <w:r>
        <w:rPr>
          <w:rStyle w:val="32"/>
        </w:rPr>
        <w:t>2</w:t>
      </w:r>
      <w:r>
        <w:rPr>
          <w:rStyle w:val="32"/>
          <w:rFonts w:hint="eastAsia" w:ascii="Times New Roman"/>
        </w:rPr>
        <w:t xml:space="preserve"> 规范性引用文件</w:t>
      </w:r>
      <w:r>
        <w:tab/>
      </w:r>
      <w:r>
        <w:fldChar w:fldCharType="begin"/>
      </w:r>
      <w:r>
        <w:instrText xml:space="preserve"> PAGEREF _Toc212127185 \h </w:instrText>
      </w:r>
      <w:r>
        <w:fldChar w:fldCharType="separate"/>
      </w:r>
      <w:r>
        <w:t>1</w:t>
      </w:r>
      <w:r>
        <w:fldChar w:fldCharType="end"/>
      </w:r>
      <w:r>
        <w:fldChar w:fldCharType="end"/>
      </w:r>
    </w:p>
    <w:p w14:paraId="6FF6DACD">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"_Toc212127186" </w:instrText>
      </w:r>
      <w:r>
        <w:fldChar w:fldCharType="separate"/>
      </w:r>
      <w:r>
        <w:rPr>
          <w:rStyle w:val="32"/>
        </w:rPr>
        <w:t>3</w:t>
      </w:r>
      <w:r>
        <w:rPr>
          <w:rStyle w:val="32"/>
          <w:rFonts w:hint="eastAsia" w:ascii="Times New Roman"/>
        </w:rPr>
        <w:t xml:space="preserve"> 术语和定义</w:t>
      </w:r>
      <w:r>
        <w:tab/>
      </w:r>
      <w:r>
        <w:fldChar w:fldCharType="begin"/>
      </w:r>
      <w:r>
        <w:instrText xml:space="preserve"> PAGEREF _Toc212127186 \h </w:instrText>
      </w:r>
      <w:r>
        <w:fldChar w:fldCharType="separate"/>
      </w:r>
      <w:r>
        <w:t>1</w:t>
      </w:r>
      <w:r>
        <w:fldChar w:fldCharType="end"/>
      </w:r>
      <w:r>
        <w:fldChar w:fldCharType="end"/>
      </w:r>
    </w:p>
    <w:p w14:paraId="19FC7E6E">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"_Toc212127187" </w:instrText>
      </w:r>
      <w:r>
        <w:fldChar w:fldCharType="separate"/>
      </w:r>
      <w:r>
        <w:rPr>
          <w:rStyle w:val="32"/>
        </w:rPr>
        <w:t>4</w:t>
      </w:r>
      <w:r>
        <w:rPr>
          <w:rStyle w:val="32"/>
          <w:rFonts w:hint="eastAsia" w:ascii="Times New Roman"/>
        </w:rPr>
        <w:t xml:space="preserve"> 标准株评价技术标准</w:t>
      </w:r>
      <w:r>
        <w:tab/>
      </w:r>
      <w:r>
        <w:fldChar w:fldCharType="begin"/>
      </w:r>
      <w:r>
        <w:instrText xml:space="preserve"> PAGEREF _Toc212127187 \h </w:instrText>
      </w:r>
      <w:r>
        <w:fldChar w:fldCharType="separate"/>
      </w:r>
      <w:r>
        <w:t>2</w:t>
      </w:r>
      <w:r>
        <w:fldChar w:fldCharType="end"/>
      </w:r>
      <w:r>
        <w:fldChar w:fldCharType="end"/>
      </w:r>
    </w:p>
    <w:p w14:paraId="20D4EE5E">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"_Toc212127188" </w:instrText>
      </w:r>
      <w:r>
        <w:fldChar w:fldCharType="separate"/>
      </w:r>
      <w:r>
        <w:rPr>
          <w:rStyle w:val="32"/>
        </w:rPr>
        <w:t>5</w:t>
      </w:r>
      <w:r>
        <w:rPr>
          <w:rStyle w:val="32"/>
          <w:rFonts w:hint="eastAsia" w:ascii="Times New Roman"/>
        </w:rPr>
        <w:t xml:space="preserve"> 保藏要求</w:t>
      </w:r>
      <w:r>
        <w:tab/>
      </w:r>
      <w:r>
        <w:fldChar w:fldCharType="begin"/>
      </w:r>
      <w:r>
        <w:instrText xml:space="preserve"> PAGEREF _Toc212127188 \h </w:instrText>
      </w:r>
      <w:r>
        <w:fldChar w:fldCharType="separate"/>
      </w:r>
      <w:r>
        <w:t>3</w:t>
      </w:r>
      <w:r>
        <w:fldChar w:fldCharType="end"/>
      </w:r>
      <w:r>
        <w:fldChar w:fldCharType="end"/>
      </w:r>
    </w:p>
    <w:p w14:paraId="733D105A">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"_Toc212127189" </w:instrText>
      </w:r>
      <w:r>
        <w:fldChar w:fldCharType="separate"/>
      </w:r>
      <w:r>
        <w:rPr>
          <w:rStyle w:val="32"/>
        </w:rPr>
        <w:t>6</w:t>
      </w:r>
      <w:r>
        <w:rPr>
          <w:rStyle w:val="32"/>
          <w:rFonts w:hint="eastAsia" w:ascii="Times New Roman"/>
        </w:rPr>
        <w:t xml:space="preserve"> 质量控制要求</w:t>
      </w:r>
      <w:r>
        <w:tab/>
      </w:r>
      <w:r>
        <w:fldChar w:fldCharType="begin"/>
      </w:r>
      <w:r>
        <w:instrText xml:space="preserve"> PAGEREF _Toc212127189 \h </w:instrText>
      </w:r>
      <w:r>
        <w:fldChar w:fldCharType="separate"/>
      </w:r>
      <w:r>
        <w:t>3</w:t>
      </w:r>
      <w:r>
        <w:fldChar w:fldCharType="end"/>
      </w:r>
      <w:r>
        <w:fldChar w:fldCharType="end"/>
      </w:r>
    </w:p>
    <w:p w14:paraId="7FE09BBE">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"_Toc212127190" </w:instrText>
      </w:r>
      <w:r>
        <w:fldChar w:fldCharType="separate"/>
      </w:r>
      <w:r>
        <w:rPr>
          <w:rStyle w:val="32"/>
        </w:rPr>
        <w:t>7</w:t>
      </w:r>
      <w:r>
        <w:rPr>
          <w:rStyle w:val="32"/>
          <w:rFonts w:hint="eastAsia" w:ascii="Times New Roman"/>
        </w:rPr>
        <w:t xml:space="preserve"> 生物安全要求</w:t>
      </w:r>
      <w:r>
        <w:tab/>
      </w:r>
      <w:r>
        <w:t>3</w:t>
      </w:r>
      <w:r>
        <w:fldChar w:fldCharType="end"/>
      </w:r>
    </w:p>
    <w:p w14:paraId="0EA7554E">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"_Toc212127191" </w:instrText>
      </w:r>
      <w:r>
        <w:fldChar w:fldCharType="separate"/>
      </w:r>
      <w:r>
        <w:rPr>
          <w:rStyle w:val="32"/>
        </w:rPr>
        <w:t>8</w:t>
      </w:r>
      <w:r>
        <w:rPr>
          <w:rStyle w:val="32"/>
          <w:rFonts w:hint="eastAsia" w:ascii="Times New Roman"/>
        </w:rPr>
        <w:t xml:space="preserve"> 伦理要求</w:t>
      </w:r>
      <w:r>
        <w:tab/>
      </w:r>
      <w:r>
        <w:t>3</w:t>
      </w:r>
      <w:r>
        <w:fldChar w:fldCharType="end"/>
      </w:r>
    </w:p>
    <w:p w14:paraId="5A62BEBC">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"_Toc212127193" </w:instrText>
      </w:r>
      <w:r>
        <w:fldChar w:fldCharType="separate"/>
      </w:r>
      <w:r>
        <w:rPr>
          <w:rStyle w:val="32"/>
          <w:rFonts w:hint="eastAsia" w:ascii="Times New Roman"/>
          <w:spacing w:val="100"/>
        </w:rPr>
        <w:t>附录A</w:t>
      </w:r>
      <w:r>
        <w:rPr>
          <w:rStyle w:val="32"/>
          <w:rFonts w:hint="eastAsia" w:ascii="Times New Roman"/>
        </w:rPr>
        <w:t xml:space="preserve"> （规范性）</w:t>
      </w:r>
      <w:r>
        <w:rPr>
          <w:rStyle w:val="32"/>
          <w:rFonts w:ascii="Times New Roman"/>
        </w:rPr>
        <w:t xml:space="preserve"> </w:t>
      </w:r>
      <w:r>
        <w:rPr>
          <w:rStyle w:val="32"/>
          <w:rFonts w:hint="eastAsia" w:ascii="Times New Roman"/>
        </w:rPr>
        <w:t>利什曼原虫标准株信息描述</w:t>
      </w:r>
      <w:r>
        <w:tab/>
      </w:r>
      <w:r>
        <w:t>4</w:t>
      </w:r>
      <w:r>
        <w:fldChar w:fldCharType="end"/>
      </w:r>
    </w:p>
    <w:p w14:paraId="41D723D4">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"_Toc212127194" </w:instrText>
      </w:r>
      <w:r>
        <w:fldChar w:fldCharType="separate"/>
      </w:r>
      <w:r>
        <w:rPr>
          <w:rStyle w:val="32"/>
          <w:rFonts w:hint="eastAsia" w:ascii="Times New Roman"/>
          <w:spacing w:val="100"/>
        </w:rPr>
        <w:t>附录B</w:t>
      </w:r>
      <w:r>
        <w:rPr>
          <w:rStyle w:val="32"/>
          <w:rFonts w:hint="eastAsia" w:ascii="Times New Roman"/>
        </w:rPr>
        <w:t xml:space="preserve"> （资料性）</w:t>
      </w:r>
      <w:r>
        <w:rPr>
          <w:rStyle w:val="32"/>
          <w:rFonts w:ascii="Times New Roman"/>
        </w:rPr>
        <w:t xml:space="preserve"> </w:t>
      </w:r>
      <w:r>
        <w:rPr>
          <w:rStyle w:val="32"/>
          <w:rFonts w:hint="eastAsia" w:ascii="Times New Roman"/>
        </w:rPr>
        <w:t>我国利什曼病流行病学</w:t>
      </w:r>
      <w:r>
        <w:tab/>
      </w:r>
      <w:r>
        <w:t>7</w:t>
      </w:r>
      <w:r>
        <w:fldChar w:fldCharType="end"/>
      </w:r>
    </w:p>
    <w:p w14:paraId="708ADA92">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"_Toc212127195" </w:instrText>
      </w:r>
      <w:r>
        <w:fldChar w:fldCharType="separate"/>
      </w:r>
      <w:r>
        <w:rPr>
          <w:rStyle w:val="32"/>
          <w:rFonts w:hint="eastAsia"/>
          <w:spacing w:val="100"/>
        </w:rPr>
        <w:t>附录C</w:t>
      </w:r>
      <w:r>
        <w:rPr>
          <w:rStyle w:val="32"/>
          <w:rFonts w:hint="eastAsia"/>
        </w:rPr>
        <w:t xml:space="preserve"> （规范性）</w:t>
      </w:r>
      <w:r>
        <w:rPr>
          <w:rStyle w:val="32"/>
        </w:rPr>
        <w:t xml:space="preserve"> NNN</w:t>
      </w:r>
      <w:r>
        <w:rPr>
          <w:rStyle w:val="32"/>
          <w:rFonts w:hint="eastAsia"/>
        </w:rPr>
        <w:t>培养基的制备</w:t>
      </w:r>
      <w:r>
        <w:tab/>
      </w:r>
      <w:r>
        <w:t>8</w:t>
      </w:r>
      <w:r>
        <w:fldChar w:fldCharType="end"/>
      </w:r>
    </w:p>
    <w:p w14:paraId="5425DF5D">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"_Toc212127196" </w:instrText>
      </w:r>
      <w:r>
        <w:fldChar w:fldCharType="separate"/>
      </w:r>
      <w:r>
        <w:rPr>
          <w:rStyle w:val="32"/>
          <w:rFonts w:hint="eastAsia"/>
          <w:spacing w:val="100"/>
        </w:rPr>
        <w:t>附录D</w:t>
      </w:r>
      <w:r>
        <w:rPr>
          <w:rStyle w:val="32"/>
          <w:rFonts w:hint="eastAsia"/>
        </w:rPr>
        <w:t xml:space="preserve"> （规范性）</w:t>
      </w:r>
      <w:r>
        <w:rPr>
          <w:rStyle w:val="32"/>
        </w:rPr>
        <w:t xml:space="preserve"> </w:t>
      </w:r>
      <w:r>
        <w:rPr>
          <w:rStyle w:val="32"/>
          <w:rFonts w:hint="eastAsia"/>
        </w:rPr>
        <w:t>我国利什曼原虫虫种鉴定技术</w:t>
      </w:r>
      <w:r>
        <w:tab/>
      </w:r>
      <w:r>
        <w:t>9</w:t>
      </w:r>
      <w:r>
        <w:fldChar w:fldCharType="end"/>
      </w:r>
    </w:p>
    <w:p w14:paraId="0F9215D5">
      <w:pPr>
        <w:pStyle w:val="19"/>
        <w:tabs>
          <w:tab w:val="right" w:leader="dot" w:pos="9344"/>
        </w:tabs>
        <w:rPr>
          <w:rFonts w:asciiTheme="minorHAnsi" w:hAnsiTheme="minorHAnsi" w:eastAsiaTheme="minorEastAsia" w:cstheme="minorBidi"/>
          <w:szCs w:val="22"/>
        </w:rPr>
      </w:pPr>
      <w:r>
        <w:fldChar w:fldCharType="begin"/>
      </w:r>
      <w:r>
        <w:instrText xml:space="preserve"> HYPERLINK \l "_Toc212127197" </w:instrText>
      </w:r>
      <w:r>
        <w:fldChar w:fldCharType="separate"/>
      </w:r>
      <w:r>
        <w:rPr>
          <w:rStyle w:val="32"/>
          <w:rFonts w:hint="eastAsia"/>
          <w:spacing w:val="105"/>
        </w:rPr>
        <w:t>参考文</w:t>
      </w:r>
      <w:r>
        <w:rPr>
          <w:rStyle w:val="32"/>
          <w:rFonts w:hint="eastAsia"/>
        </w:rPr>
        <w:t>献</w:t>
      </w:r>
      <w:r>
        <w:tab/>
      </w:r>
      <w:r>
        <w:t>11</w:t>
      </w:r>
      <w:r>
        <w:fldChar w:fldCharType="end"/>
      </w:r>
    </w:p>
    <w:p w14:paraId="34C391DC">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466231D5">
      <w:pPr>
        <w:pStyle w:val="89"/>
        <w:spacing w:after="360"/>
      </w:pPr>
      <w:bookmarkStart w:id="23" w:name="_Toc212127182"/>
      <w:bookmarkStart w:id="24" w:name="BookMark2"/>
      <w:r>
        <w:rPr>
          <w:spacing w:val="320"/>
        </w:rPr>
        <w:t>前</w:t>
      </w:r>
      <w:r>
        <w:t>言</w:t>
      </w:r>
      <w:bookmarkEnd w:id="22"/>
      <w:bookmarkEnd w:id="23"/>
    </w:p>
    <w:p w14:paraId="42421882">
      <w:pPr>
        <w:pStyle w:val="56"/>
        <w:ind w:firstLine="420"/>
      </w:pPr>
      <w:r>
        <w:rPr>
          <w:rFonts w:hint="eastAsia"/>
        </w:rPr>
        <w:t>本文件按照GB/T 1.1—2020《标准化工作导则  第1部分：标准化文件的结构和起草规则》的规定起草。</w:t>
      </w:r>
    </w:p>
    <w:p w14:paraId="07B7434D">
      <w:pPr>
        <w:rPr>
          <w:rFonts w:ascii="宋体" w:hAnsi="Times New Roman"/>
          <w:kern w:val="0"/>
          <w:szCs w:val="20"/>
        </w:rPr>
      </w:pPr>
      <w:r>
        <w:rPr>
          <w:rFonts w:hint="eastAsia" w:ascii="宋体" w:hAnsi="Times New Roman"/>
          <w:kern w:val="0"/>
          <w:szCs w:val="20"/>
        </w:rPr>
        <w:t>本文件由中国疾病预防控制中心寄生虫病预防控制所（国家热带病研究中心）提出。</w:t>
      </w:r>
    </w:p>
    <w:p w14:paraId="1B9CF071">
      <w:pPr>
        <w:rPr>
          <w:rFonts w:ascii="宋体" w:hAnsi="Times New Roman"/>
          <w:kern w:val="0"/>
          <w:szCs w:val="20"/>
        </w:rPr>
      </w:pPr>
      <w:r>
        <w:rPr>
          <w:rFonts w:hint="eastAsia" w:ascii="宋体" w:hAnsi="Times New Roman"/>
          <w:kern w:val="0"/>
          <w:szCs w:val="20"/>
        </w:rPr>
        <w:t>本文件由</w:t>
      </w:r>
      <w:r>
        <w:rPr>
          <w:rFonts w:hint="eastAsia" w:ascii="宋体" w:hAnsi="Times New Roman"/>
          <w:kern w:val="0"/>
          <w:szCs w:val="20"/>
          <w:lang w:val="en-US" w:eastAsia="zh-CN"/>
        </w:rPr>
        <w:t>中国民族卫生协会</w:t>
      </w:r>
      <w:r>
        <w:rPr>
          <w:rFonts w:hint="eastAsia" w:ascii="宋体" w:hAnsi="Times New Roman"/>
          <w:kern w:val="0"/>
          <w:szCs w:val="20"/>
        </w:rPr>
        <w:t>归口。</w:t>
      </w:r>
    </w:p>
    <w:p w14:paraId="427B3DE8">
      <w:pPr>
        <w:rPr>
          <w:rFonts w:ascii="宋体" w:hAnsi="Times New Roman"/>
          <w:kern w:val="0"/>
          <w:szCs w:val="20"/>
        </w:rPr>
      </w:pPr>
      <w:r>
        <w:rPr>
          <w:rFonts w:hint="eastAsia" w:ascii="宋体" w:hAnsi="Times New Roman"/>
          <w:kern w:val="0"/>
          <w:szCs w:val="20"/>
        </w:rPr>
        <w:t>本文件起草单位：中国疾病预防控制中心寄生虫病预防控制所（国家热带病研究中心）、河南省疾病预防控制中心、复旦大学、上海交通大学、甘肃省疾病预防控制中心（甘肃省预防医学科学院）、</w:t>
      </w:r>
      <w:r>
        <w:rPr>
          <w:rFonts w:hint="eastAsia"/>
        </w:rPr>
        <w:t>山西省阳泉市疾病预防控制中心、新疆维吾尔自治区疾病预防控制中心</w:t>
      </w:r>
    </w:p>
    <w:p w14:paraId="61116A05">
      <w:r>
        <w:rPr>
          <w:rFonts w:hint="eastAsia"/>
        </w:rPr>
        <w:t>本文件主要起草人：</w:t>
      </w:r>
      <w:r>
        <w:rPr>
          <w:rFonts w:hint="eastAsia" w:ascii="宋体" w:hAnsi="宋体"/>
        </w:rPr>
        <w:t>高春花、李石柱、郑彬、王汝波、俞铖航、危芙蓉、邓艳、程训佳、王兆军、李凡、</w:t>
      </w:r>
      <w:r>
        <w:rPr>
          <w:rFonts w:hint="eastAsia"/>
        </w:rPr>
        <w:t>李宏岩、张海亭、</w:t>
      </w:r>
      <w:r>
        <w:rPr>
          <w:rFonts w:hint="eastAsia" w:ascii="宋体" w:hAnsi="宋体"/>
        </w:rPr>
        <w:t>石锋、李诗慧。</w:t>
      </w:r>
    </w:p>
    <w:p w14:paraId="774B99A8">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D4A3D4A">
      <w:pPr>
        <w:pStyle w:val="89"/>
        <w:spacing w:after="360"/>
        <w:rPr>
          <w:rFonts w:ascii="Times New Roman"/>
        </w:rPr>
      </w:pPr>
      <w:bookmarkStart w:id="25" w:name="_Toc212127183"/>
      <w:bookmarkStart w:id="26" w:name="_Toc201759903"/>
      <w:bookmarkStart w:id="27" w:name="BookMark3"/>
      <w:r>
        <w:rPr>
          <w:rFonts w:ascii="Times New Roman"/>
          <w:spacing w:val="320"/>
        </w:rPr>
        <w:t>引</w:t>
      </w:r>
      <w:r>
        <w:rPr>
          <w:rFonts w:ascii="Times New Roman"/>
        </w:rPr>
        <w:t>言</w:t>
      </w:r>
      <w:bookmarkEnd w:id="25"/>
      <w:bookmarkEnd w:id="26"/>
    </w:p>
    <w:p w14:paraId="61787A20">
      <w:pPr>
        <w:pStyle w:val="56"/>
        <w:ind w:firstLine="420"/>
        <w:rPr>
          <w:rFonts w:ascii="Times New Roman"/>
          <w:szCs w:val="21"/>
        </w:rPr>
      </w:pPr>
      <w:r>
        <w:rPr>
          <w:rFonts w:hint="eastAsia" w:ascii="Times New Roman"/>
          <w:szCs w:val="21"/>
        </w:rPr>
        <w:t>利什曼病是由利什曼原虫感染所致的人兽共患寄生虫病，主要通过媒介白蛉叮咬传播。我国目前流行利什曼病主要是内脏利什曼病（又称黑热病）。近年来，不仅本地感染的犬源型黑热病在我国中部地区迅速增多，随着人口流动增加和气候变化，输入性病例数也不断上升，给利什曼病的控制带来极大挑战。利什曼原虫作为利什曼病的病原体，其标准化管理与评价是提升防控效能的关键环节。部分利什曼原虫已纳入国家病原微生物菌（毒）种保藏中心管理，但至今尚却无标准株的评价标准。</w:t>
      </w:r>
    </w:p>
    <w:p w14:paraId="584F81D2">
      <w:pPr>
        <w:pStyle w:val="56"/>
        <w:ind w:firstLine="420"/>
        <w:rPr>
          <w:rFonts w:ascii="Times New Roman"/>
        </w:rPr>
      </w:pPr>
      <w:r>
        <w:rPr>
          <w:rFonts w:hint="eastAsia" w:ascii="Times New Roman"/>
          <w:szCs w:val="21"/>
        </w:rPr>
        <w:t>本标准的制定，旨在统一技术规范，有效解决各级疾病预防控制机构和医疗机构因无规范可依导致的利什曼原虫相关科研、诊断、疫苗和药物研发数据缺乏可比性的问题，提升利什曼病科研与防控能力。同时填补国内寄生虫标准株评价技术标准的空白，完善寄生虫保藏标准体系。</w:t>
      </w:r>
    </w:p>
    <w:p w14:paraId="741839FF">
      <w:pPr>
        <w:pStyle w:val="56"/>
        <w:ind w:firstLine="420"/>
        <w:rPr>
          <w:rFonts w:ascii="Times New Roman"/>
        </w:rPr>
      </w:pPr>
    </w:p>
    <w:p w14:paraId="1DF5DB94">
      <w:pPr>
        <w:pStyle w:val="56"/>
        <w:ind w:firstLine="420"/>
        <w:rPr>
          <w:rFonts w:ascii="Times New Roman"/>
        </w:rPr>
      </w:pPr>
    </w:p>
    <w:p w14:paraId="669ABCD9">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7"/>
    <w:p w14:paraId="6F091229">
      <w:pPr>
        <w:spacing w:line="20" w:lineRule="exact"/>
        <w:jc w:val="center"/>
        <w:rPr>
          <w:rFonts w:ascii="Times New Roman" w:hAnsi="Times New Roman" w:eastAsia="黑体"/>
          <w:sz w:val="32"/>
          <w:szCs w:val="32"/>
        </w:rPr>
      </w:pPr>
      <w:bookmarkStart w:id="28" w:name="BookMark4"/>
    </w:p>
    <w:p w14:paraId="747010CF">
      <w:pPr>
        <w:spacing w:line="20" w:lineRule="exact"/>
        <w:jc w:val="center"/>
        <w:rPr>
          <w:rFonts w:ascii="Times New Roman" w:hAnsi="Times New Roman" w:eastAsia="黑体"/>
          <w:sz w:val="32"/>
          <w:szCs w:val="32"/>
        </w:rPr>
      </w:pPr>
    </w:p>
    <w:sdt>
      <w:sdtPr>
        <w:tag w:val="NEW_STAND_NAME"/>
        <w:id w:val="595910757"/>
        <w:lock w:val="sdtLocked"/>
        <w:placeholder>
          <w:docPart w:val="B5A9E7C2338D4E14A0C1D9F2626A2EB0"/>
        </w:placeholder>
      </w:sdtPr>
      <w:sdtContent>
        <w:p w14:paraId="4AE2C93C">
          <w:pPr>
            <w:pStyle w:val="177"/>
            <w:spacing w:before="2" w:beforeLines="1" w:after="528" w:afterLines="220"/>
          </w:pPr>
          <w:bookmarkStart w:id="29" w:name="NEW_STAND_NAME"/>
          <w:r>
            <w:rPr>
              <w:rFonts w:hint="eastAsia"/>
            </w:rPr>
            <w:t>利什曼原虫标准株评价技术标准</w:t>
          </w:r>
        </w:p>
      </w:sdtContent>
    </w:sdt>
    <w:bookmarkEnd w:id="29"/>
    <w:p w14:paraId="097CA7A8">
      <w:pPr>
        <w:pStyle w:val="104"/>
        <w:spacing w:before="240" w:after="240"/>
        <w:rPr>
          <w:rFonts w:ascii="Times New Roman"/>
        </w:rPr>
      </w:pPr>
      <w:bookmarkStart w:id="30" w:name="_Toc193101811"/>
      <w:bookmarkStart w:id="31" w:name="_Toc212127184"/>
      <w:bookmarkStart w:id="32" w:name="_Toc26648465"/>
      <w:bookmarkStart w:id="33" w:name="_Toc26718930"/>
      <w:bookmarkStart w:id="34" w:name="_Toc26986771"/>
      <w:bookmarkStart w:id="35" w:name="_Toc24884211"/>
      <w:bookmarkStart w:id="36" w:name="_Toc201759904"/>
      <w:bookmarkStart w:id="37" w:name="_Toc17233325"/>
      <w:bookmarkStart w:id="38" w:name="_Toc24884218"/>
      <w:bookmarkStart w:id="39" w:name="_Toc26986530"/>
      <w:bookmarkStart w:id="40" w:name="_Toc17233333"/>
      <w:bookmarkStart w:id="41" w:name="_Toc97192964"/>
      <w:r>
        <w:rPr>
          <w:rFonts w:ascii="Times New Roman"/>
        </w:rPr>
        <w:t>范围</w:t>
      </w:r>
      <w:bookmarkEnd w:id="30"/>
      <w:bookmarkEnd w:id="31"/>
      <w:bookmarkEnd w:id="32"/>
      <w:bookmarkEnd w:id="33"/>
      <w:bookmarkEnd w:id="34"/>
      <w:bookmarkEnd w:id="35"/>
      <w:bookmarkEnd w:id="36"/>
      <w:bookmarkEnd w:id="37"/>
      <w:bookmarkEnd w:id="38"/>
      <w:bookmarkEnd w:id="39"/>
      <w:bookmarkEnd w:id="40"/>
      <w:bookmarkEnd w:id="41"/>
    </w:p>
    <w:p w14:paraId="2DDA683F">
      <w:pPr>
        <w:pStyle w:val="56"/>
        <w:ind w:firstLine="420"/>
        <w:rPr>
          <w:rFonts w:ascii="Times New Roman"/>
        </w:rPr>
      </w:pPr>
      <w:bookmarkStart w:id="42" w:name="_Toc17233334"/>
      <w:bookmarkStart w:id="43" w:name="_Toc24884212"/>
      <w:bookmarkStart w:id="44" w:name="_Toc17233326"/>
      <w:bookmarkStart w:id="45" w:name="_Toc26648466"/>
      <w:bookmarkStart w:id="46" w:name="_Toc24884219"/>
      <w:r>
        <w:rPr>
          <w:rFonts w:ascii="Times New Roman"/>
        </w:rPr>
        <w:t>本文件规定了建立我国不同类型流行区利什曼原虫标准株的评价、保藏、质量控制、生物安全、伦理的要求。</w:t>
      </w:r>
    </w:p>
    <w:p w14:paraId="03465999">
      <w:pPr>
        <w:pStyle w:val="56"/>
        <w:ind w:firstLine="420"/>
        <w:rPr>
          <w:rFonts w:ascii="Times New Roman"/>
        </w:rPr>
      </w:pPr>
      <w:r>
        <w:rPr>
          <w:rFonts w:ascii="Times New Roman"/>
        </w:rPr>
        <w:t>本文件适用于全国各级病原微生物菌（毒）种保藏机构，其他利什曼原虫相关研究、教学、检测、诊断及产品研发活动的机构可参照执行。</w:t>
      </w:r>
    </w:p>
    <w:p w14:paraId="20D95173">
      <w:pPr>
        <w:pStyle w:val="104"/>
        <w:spacing w:before="240" w:after="240"/>
        <w:rPr>
          <w:rFonts w:ascii="Times New Roman"/>
        </w:rPr>
      </w:pPr>
      <w:bookmarkStart w:id="47" w:name="_Toc26986531"/>
      <w:bookmarkStart w:id="48" w:name="_Toc26718931"/>
      <w:bookmarkStart w:id="49" w:name="_Toc97192965"/>
      <w:bookmarkStart w:id="50" w:name="_Toc201759905"/>
      <w:bookmarkStart w:id="51" w:name="_Toc26986772"/>
      <w:bookmarkStart w:id="52" w:name="_Toc212127185"/>
      <w:bookmarkStart w:id="53" w:name="_Toc193101812"/>
      <w:r>
        <w:rPr>
          <w:rFonts w:ascii="Times New Roman"/>
        </w:rPr>
        <w:t>规范性引用文件</w:t>
      </w:r>
      <w:bookmarkEnd w:id="42"/>
      <w:bookmarkEnd w:id="43"/>
      <w:bookmarkEnd w:id="44"/>
      <w:bookmarkEnd w:id="45"/>
      <w:bookmarkEnd w:id="46"/>
      <w:bookmarkEnd w:id="47"/>
      <w:bookmarkEnd w:id="48"/>
      <w:bookmarkEnd w:id="49"/>
      <w:bookmarkEnd w:id="50"/>
      <w:bookmarkEnd w:id="51"/>
      <w:bookmarkEnd w:id="52"/>
      <w:bookmarkEnd w:id="53"/>
    </w:p>
    <w:sdt>
      <w:sdtPr>
        <w:rPr>
          <w:rFonts w:ascii="Times New Roman"/>
        </w:rPr>
        <w:id w:val="715848253"/>
        <w:placeholder>
          <w:docPart w:val="B131210D8F8846BBB4A500046D10AB0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F0E3188">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AB5DFCC">
      <w:pPr>
        <w:pStyle w:val="56"/>
        <w:ind w:firstLine="420"/>
        <w:rPr>
          <w:rFonts w:ascii="Times New Roman"/>
        </w:rPr>
      </w:pPr>
      <w:r>
        <w:rPr>
          <w:rFonts w:ascii="Times New Roman"/>
        </w:rPr>
        <w:t>WS 258—2006 黑热病诊断标准</w:t>
      </w:r>
    </w:p>
    <w:p w14:paraId="05DF5252">
      <w:pPr>
        <w:pStyle w:val="56"/>
        <w:ind w:firstLine="420"/>
        <w:rPr>
          <w:rFonts w:ascii="Times New Roman"/>
        </w:rPr>
      </w:pPr>
      <w:r>
        <w:rPr>
          <w:rFonts w:ascii="Times New Roman"/>
        </w:rPr>
        <w:t>WS/T 10018—2024 利什曼原虫检测 涂片镜检法</w:t>
      </w:r>
    </w:p>
    <w:p w14:paraId="5925C364">
      <w:pPr>
        <w:pStyle w:val="56"/>
        <w:ind w:firstLine="420"/>
        <w:rPr>
          <w:rFonts w:ascii="Times New Roman"/>
        </w:rPr>
      </w:pPr>
      <w:r>
        <w:rPr>
          <w:rFonts w:ascii="Times New Roman"/>
        </w:rPr>
        <w:t>WS/T 812 病原微生物菌（毒）种国家标准株评价技术标准</w:t>
      </w:r>
    </w:p>
    <w:p w14:paraId="5ED0FA4C">
      <w:pPr>
        <w:pStyle w:val="56"/>
        <w:ind w:firstLine="420"/>
        <w:rPr>
          <w:rFonts w:ascii="Times New Roman"/>
        </w:rPr>
      </w:pPr>
      <w:r>
        <w:rPr>
          <w:rFonts w:ascii="Times New Roman"/>
        </w:rPr>
        <w:t>WS 315 人间传染的病原微生物菌（毒）种保藏机构设置技术规范</w:t>
      </w:r>
    </w:p>
    <w:p w14:paraId="011F76EE">
      <w:pPr>
        <w:pStyle w:val="56"/>
        <w:ind w:firstLine="420"/>
        <w:rPr>
          <w:rFonts w:ascii="Times New Roman"/>
        </w:rPr>
      </w:pPr>
      <w:r>
        <w:rPr>
          <w:rFonts w:ascii="Times New Roman"/>
        </w:rPr>
        <w:t>T/CPMA 011 病原微生物菌（毒）种保藏数据描述通则</w:t>
      </w:r>
    </w:p>
    <w:p w14:paraId="69E09672">
      <w:pPr>
        <w:pStyle w:val="56"/>
        <w:ind w:firstLine="420"/>
        <w:rPr>
          <w:rFonts w:ascii="Times New Roman"/>
        </w:rPr>
      </w:pPr>
      <w:r>
        <w:rPr>
          <w:rFonts w:ascii="Times New Roman"/>
        </w:rPr>
        <w:t>GB/T 37864 生物样本库质量和能力通用要求</w:t>
      </w:r>
    </w:p>
    <w:p w14:paraId="37388BAE">
      <w:pPr>
        <w:pStyle w:val="56"/>
        <w:ind w:firstLine="420"/>
        <w:rPr>
          <w:rFonts w:ascii="Times New Roman"/>
        </w:rPr>
      </w:pPr>
      <w:r>
        <w:rPr>
          <w:rFonts w:ascii="Times New Roman"/>
        </w:rPr>
        <w:t>GB 19489 实验室生物安全通用要求</w:t>
      </w:r>
    </w:p>
    <w:p w14:paraId="05DC98BE">
      <w:pPr>
        <w:pStyle w:val="56"/>
        <w:ind w:firstLine="420"/>
        <w:rPr>
          <w:rFonts w:ascii="Times New Roman"/>
        </w:rPr>
      </w:pPr>
      <w:r>
        <w:rPr>
          <w:rFonts w:ascii="Times New Roman"/>
        </w:rPr>
        <w:t>WS 233病原微生物实验室生物安全通用准则</w:t>
      </w:r>
    </w:p>
    <w:p w14:paraId="3E8C6B2D">
      <w:pPr>
        <w:pStyle w:val="104"/>
        <w:spacing w:before="240" w:after="240"/>
        <w:rPr>
          <w:rFonts w:ascii="Times New Roman"/>
        </w:rPr>
      </w:pPr>
      <w:bookmarkStart w:id="54" w:name="_Toc97192966"/>
      <w:bookmarkStart w:id="55" w:name="_Toc212127186"/>
      <w:bookmarkStart w:id="56" w:name="_Toc193101813"/>
      <w:bookmarkStart w:id="57" w:name="_Toc201759906"/>
      <w:r>
        <w:rPr>
          <w:rFonts w:ascii="Times New Roman"/>
          <w:szCs w:val="21"/>
        </w:rPr>
        <w:t>术语和定义</w:t>
      </w:r>
      <w:bookmarkEnd w:id="54"/>
      <w:bookmarkEnd w:id="55"/>
      <w:bookmarkEnd w:id="56"/>
      <w:bookmarkEnd w:id="57"/>
    </w:p>
    <w:sdt>
      <w:sdtPr>
        <w:rPr>
          <w:rFonts w:ascii="Times New Roman"/>
        </w:rPr>
        <w:id w:val="-1909835108"/>
        <w:placeholder>
          <w:docPart w:val="2CDC17C3D1BE4F9796F208528EE281F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68EAD447">
          <w:pPr>
            <w:pStyle w:val="56"/>
            <w:ind w:firstLine="420"/>
            <w:rPr>
              <w:rFonts w:ascii="Times New Roman"/>
            </w:rPr>
          </w:pPr>
          <w:bookmarkStart w:id="58" w:name="_Toc26986532"/>
          <w:bookmarkEnd w:id="58"/>
          <w:r>
            <w:rPr>
              <w:rFonts w:ascii="Times New Roman"/>
            </w:rPr>
            <w:t>WS 258—2006、WS/T 10018—2024、WS/T 812—2022和WS 315—2010界定的以及下列术语和定义适用于本文件。</w:t>
          </w:r>
        </w:p>
      </w:sdtContent>
    </w:sdt>
    <w:p w14:paraId="1950C35E">
      <w:pPr>
        <w:pStyle w:val="105"/>
        <w:spacing w:before="120" w:after="120"/>
        <w:rPr>
          <w:rFonts w:ascii="Times New Roman"/>
        </w:rPr>
      </w:pPr>
      <w:r>
        <w:rPr>
          <w:rFonts w:ascii="Times New Roman"/>
          <w:szCs w:val="24"/>
        </w:rPr>
        <w:t>利什曼原虫</w:t>
      </w:r>
      <w:r>
        <w:rPr>
          <w:rFonts w:ascii="Times New Roman"/>
          <w:i/>
          <w:szCs w:val="24"/>
        </w:rPr>
        <w:t>Leishmania</w:t>
      </w:r>
      <w:r>
        <w:rPr>
          <w:rFonts w:ascii="Times New Roman"/>
          <w:szCs w:val="24"/>
        </w:rPr>
        <w:t xml:space="preserve"> spp.</w:t>
      </w:r>
    </w:p>
    <w:p w14:paraId="63A1E0E2">
      <w:pPr>
        <w:pStyle w:val="56"/>
        <w:ind w:firstLine="420"/>
        <w:rPr>
          <w:rFonts w:hint="eastAsia" w:ascii="Times New Roman"/>
        </w:rPr>
      </w:pPr>
      <w:r>
        <w:rPr>
          <w:rFonts w:ascii="Times New Roman"/>
        </w:rPr>
        <w:t>一类可以引起利什曼病的寄生性的单细胞真核生物。不同种利什曼原虫感染可导致人内脏利什曼病（visceral leishmaniasis）或称黑热病（kala-azar）、皮肤利什曼病（cutaneous leishmaniasis）或黏膜皮肤利什曼病（mucocutaneous leishmaniasis）。</w:t>
      </w:r>
    </w:p>
    <w:p w14:paraId="758E0ABE">
      <w:pPr>
        <w:pStyle w:val="105"/>
        <w:spacing w:before="120" w:after="120"/>
        <w:rPr>
          <w:rFonts w:ascii="Times New Roman"/>
        </w:rPr>
      </w:pPr>
      <w:r>
        <w:rPr>
          <w:rFonts w:ascii="Times New Roman"/>
        </w:rPr>
        <w:t>利什曼原虫无鞭毛体</w:t>
      </w:r>
      <w:r>
        <w:rPr>
          <w:rFonts w:ascii="Times New Roman"/>
          <w:i/>
        </w:rPr>
        <w:t xml:space="preserve"> Leishmania </w:t>
      </w:r>
      <w:r>
        <w:rPr>
          <w:rFonts w:ascii="Times New Roman"/>
        </w:rPr>
        <w:t>amastigote</w:t>
      </w:r>
    </w:p>
    <w:p w14:paraId="65179C73">
      <w:pPr>
        <w:pStyle w:val="231"/>
        <w:rPr>
          <w:rFonts w:ascii="Times New Roman" w:hAnsi="Times New Roman" w:cs="Times New Roman"/>
        </w:rPr>
      </w:pPr>
      <w:r>
        <w:rPr>
          <w:rFonts w:ascii="Times New Roman" w:hAnsi="Times New Roman" w:cs="Times New Roman"/>
        </w:rPr>
        <w:tab/>
      </w:r>
      <w:r>
        <w:rPr>
          <w:rFonts w:ascii="Times New Roman" w:hAnsi="Times New Roman" w:cs="Times New Roman"/>
        </w:rPr>
        <w:t>又称利杜体 （Leishman-Donovan body），寄生于人体和/或哺乳动物单核-巨噬细胞内的利什曼原虫，虫体呈卵圆形，大小为（2.9～5.7）μm×（1.8～4.0）μm，鞭毛不伸出体外、无运动能力的利什曼原虫生活史时期。</w:t>
      </w:r>
    </w:p>
    <w:p w14:paraId="2B5C10FE">
      <w:pPr>
        <w:pStyle w:val="105"/>
        <w:spacing w:before="120" w:after="120"/>
        <w:rPr>
          <w:rFonts w:ascii="Times New Roman"/>
        </w:rPr>
      </w:pPr>
      <w:r>
        <w:rPr>
          <w:rFonts w:ascii="Times New Roman"/>
        </w:rPr>
        <w:t>利什曼原虫前鞭毛体 Leishmania prostigote</w:t>
      </w:r>
    </w:p>
    <w:p w14:paraId="2A922A3E">
      <w:pPr>
        <w:pStyle w:val="162"/>
        <w:numPr>
          <w:ilvl w:val="0"/>
          <w:numId w:val="0"/>
        </w:numPr>
        <w:rPr>
          <w:rFonts w:ascii="Times New Roman"/>
        </w:rPr>
      </w:pPr>
      <w:r>
        <w:rPr>
          <w:rFonts w:ascii="Times New Roman"/>
        </w:rPr>
        <w:tab/>
      </w:r>
      <w:r>
        <w:rPr>
          <w:rFonts w:ascii="Times New Roman"/>
        </w:rPr>
        <w:t>寄生于白蛉消化道内或在培养基内生长的利什曼原虫生活史时期，虫体常呈梭形，大小为（14.3～20）μm×（1.5～1.8）μm，一鞭毛自虫体前端伸出，有运动能力。</w:t>
      </w:r>
    </w:p>
    <w:p w14:paraId="52C86ED9">
      <w:pPr>
        <w:pStyle w:val="105"/>
        <w:spacing w:before="120" w:after="120"/>
        <w:rPr>
          <w:rFonts w:ascii="Times New Roman"/>
        </w:rPr>
      </w:pPr>
      <w:r>
        <w:rPr>
          <w:rFonts w:ascii="Times New Roman"/>
        </w:rPr>
        <w:t xml:space="preserve">利什曼原虫标准株 </w:t>
      </w:r>
      <w:r>
        <w:rPr>
          <w:rFonts w:ascii="Times New Roman"/>
          <w:i/>
        </w:rPr>
        <w:t>Leishmania</w:t>
      </w:r>
      <w:r>
        <w:rPr>
          <w:rFonts w:ascii="Times New Roman"/>
        </w:rPr>
        <w:t xml:space="preserve"> standard strains</w:t>
      </w:r>
    </w:p>
    <w:p w14:paraId="006AD50A">
      <w:pPr>
        <w:pStyle w:val="162"/>
        <w:numPr>
          <w:ilvl w:val="0"/>
          <w:numId w:val="0"/>
        </w:numPr>
        <w:rPr>
          <w:rFonts w:ascii="Times New Roman"/>
        </w:rPr>
      </w:pPr>
      <w:r>
        <w:rPr>
          <w:rFonts w:ascii="Times New Roman"/>
        </w:rPr>
        <w:tab/>
      </w:r>
      <w:r>
        <w:rPr>
          <w:rFonts w:ascii="Times New Roman"/>
        </w:rPr>
        <w:t>具有我国特定利什曼病流行区利什曼原虫典型生物学特征，其遗传学特性得到确认和保证、可追溯，且能反映该虫种的代表性，由国家病原微生物菌（毒）种保藏中心寄生虫分中心复核、鉴定，并给予国家保藏编号的利什曼原虫虫株。以下简称标准株。</w:t>
      </w:r>
    </w:p>
    <w:p w14:paraId="57317098">
      <w:pPr>
        <w:pStyle w:val="105"/>
        <w:spacing w:before="120" w:after="120"/>
        <w:rPr>
          <w:rFonts w:ascii="Times New Roman"/>
        </w:rPr>
      </w:pPr>
      <w:r>
        <w:rPr>
          <w:rFonts w:ascii="Times New Roman"/>
        </w:rPr>
        <w:t>复苏率recovery rate</w:t>
      </w:r>
    </w:p>
    <w:p w14:paraId="2211CB76">
      <w:pPr>
        <w:pStyle w:val="162"/>
        <w:numPr>
          <w:ilvl w:val="0"/>
          <w:numId w:val="0"/>
        </w:numPr>
        <w:rPr>
          <w:rFonts w:ascii="Times New Roman"/>
        </w:rPr>
      </w:pPr>
      <w:r>
        <w:rPr>
          <w:rFonts w:ascii="Times New Roman"/>
        </w:rPr>
        <w:tab/>
      </w:r>
      <w:r>
        <w:rPr>
          <w:rFonts w:ascii="Times New Roman"/>
        </w:rPr>
        <w:t>冻存虫株复苏后存活虫体数与冻存前虫体总数的百分比。</w:t>
      </w:r>
    </w:p>
    <w:p w14:paraId="36DC9FC8">
      <w:pPr>
        <w:pStyle w:val="104"/>
        <w:spacing w:before="240" w:after="240"/>
        <w:rPr>
          <w:rFonts w:ascii="Times New Roman"/>
        </w:rPr>
      </w:pPr>
      <w:bookmarkStart w:id="59" w:name="_Toc212127187"/>
      <w:r>
        <w:rPr>
          <w:rFonts w:ascii="Times New Roman"/>
        </w:rPr>
        <w:t>标准株评价技术标准</w:t>
      </w:r>
      <w:bookmarkEnd w:id="59"/>
    </w:p>
    <w:p w14:paraId="13DC5D63">
      <w:pPr>
        <w:pStyle w:val="105"/>
        <w:spacing w:before="120" w:after="120"/>
        <w:rPr>
          <w:rFonts w:ascii="Times New Roman"/>
        </w:rPr>
      </w:pPr>
      <w:r>
        <w:rPr>
          <w:rFonts w:ascii="Times New Roman"/>
        </w:rPr>
        <w:t>标准株的评价应符合WS/T 812—2022。</w:t>
      </w:r>
    </w:p>
    <w:p w14:paraId="14629BFB">
      <w:pPr>
        <w:pStyle w:val="162"/>
        <w:rPr>
          <w:rFonts w:ascii="Times New Roman"/>
        </w:rPr>
      </w:pPr>
      <w:r>
        <w:rPr>
          <w:rFonts w:ascii="Times New Roman"/>
        </w:rPr>
        <w:t>生物学评价</w:t>
      </w:r>
    </w:p>
    <w:p w14:paraId="5774D5C7">
      <w:pPr>
        <w:pStyle w:val="65"/>
        <w:spacing w:before="120" w:after="120"/>
        <w:rPr>
          <w:rFonts w:ascii="Times New Roman"/>
        </w:rPr>
      </w:pPr>
      <w:r>
        <w:rPr>
          <w:rFonts w:ascii="Times New Roman"/>
        </w:rPr>
        <w:t>信息和描述</w:t>
      </w:r>
    </w:p>
    <w:p w14:paraId="64C3EB5E">
      <w:pPr>
        <w:pStyle w:val="56"/>
        <w:ind w:firstLine="420"/>
        <w:rPr>
          <w:rFonts w:ascii="Times New Roman"/>
        </w:rPr>
      </w:pPr>
      <w:r>
        <w:rPr>
          <w:rFonts w:ascii="Times New Roman"/>
        </w:rPr>
        <w:t>信息应完整，包括基本信息、生物学特征、活性、稳定性和保藏机构联系信息。特征信息应明确，包含形态特征、培养特性、分子特征、感染性。信息描述应符合T/CPMA 011—2020。利什曼原虫标准株信息描述按照附录A执行。基本信息中的流行区类型参见附录B。</w:t>
      </w:r>
    </w:p>
    <w:p w14:paraId="6EA29D40">
      <w:pPr>
        <w:pStyle w:val="65"/>
        <w:spacing w:before="120" w:after="120"/>
        <w:rPr>
          <w:rFonts w:ascii="Times New Roman"/>
        </w:rPr>
      </w:pPr>
      <w:r>
        <w:rPr>
          <w:rFonts w:ascii="Times New Roman"/>
        </w:rPr>
        <w:t>培养特性</w:t>
      </w:r>
    </w:p>
    <w:p w14:paraId="5E6161CE">
      <w:pPr>
        <w:pStyle w:val="56"/>
        <w:ind w:firstLine="420"/>
        <w:rPr>
          <w:rFonts w:ascii="Times New Roman"/>
        </w:rPr>
      </w:pPr>
      <w:r>
        <w:rPr>
          <w:rFonts w:ascii="Times New Roman"/>
        </w:rPr>
        <w:t>我国利什曼原虫最适培养基为加洛克氏液的三恩氏培养基（简称NNN培养基），制备方法参见附录C；培养环境应保持温度22℃～24℃。</w:t>
      </w:r>
    </w:p>
    <w:p w14:paraId="00F10CF7">
      <w:pPr>
        <w:pStyle w:val="65"/>
        <w:spacing w:before="120" w:after="120"/>
        <w:rPr>
          <w:rFonts w:ascii="Times New Roman"/>
        </w:rPr>
      </w:pPr>
      <w:r>
        <w:rPr>
          <w:rFonts w:ascii="Times New Roman"/>
        </w:rPr>
        <w:t>形态学特征</w:t>
      </w:r>
    </w:p>
    <w:p w14:paraId="4421F532">
      <w:pPr>
        <w:pStyle w:val="56"/>
        <w:ind w:firstLine="420"/>
        <w:rPr>
          <w:rFonts w:ascii="Times New Roman"/>
        </w:rPr>
      </w:pPr>
      <w:r>
        <w:rPr>
          <w:rFonts w:ascii="Times New Roman"/>
        </w:rPr>
        <w:t>显微镜下利什曼原虫前鞭毛体呈梭形或长梭形，前端有一根伸出体外的鞭毛，虫体大小为（14.3～20）μm×（1.5～1.8）μm，活的前鞭毛体运动活泼，鞭毛不停地摆动，常以虫体前端聚集成团，排列成菊花状。</w:t>
      </w:r>
    </w:p>
    <w:p w14:paraId="2D545989">
      <w:pPr>
        <w:pStyle w:val="65"/>
        <w:spacing w:before="120" w:after="120"/>
        <w:rPr>
          <w:rFonts w:ascii="Times New Roman"/>
        </w:rPr>
      </w:pPr>
      <w:r>
        <w:rPr>
          <w:rFonts w:ascii="Times New Roman"/>
        </w:rPr>
        <w:t>分子特征</w:t>
      </w:r>
    </w:p>
    <w:p w14:paraId="166519AF">
      <w:pPr>
        <w:pStyle w:val="56"/>
        <w:ind w:firstLine="420"/>
        <w:rPr>
          <w:rFonts w:ascii="Times New Roman"/>
        </w:rPr>
      </w:pPr>
      <w:r>
        <w:rPr>
          <w:rFonts w:ascii="Times New Roman"/>
        </w:rPr>
        <w:t>应具有完整基因组序列，全基因组数据需上传NCBI并记录登录号，注释信息完整。虫种分型应对K26基因片段进行扩增测序（参见附录D），目标序列与该流行类型已上传GenBank虫株序列同源性应≥99%。</w:t>
      </w:r>
    </w:p>
    <w:p w14:paraId="2E611FE9">
      <w:pPr>
        <w:pStyle w:val="65"/>
        <w:spacing w:before="120" w:after="120"/>
        <w:rPr>
          <w:rFonts w:ascii="Times New Roman"/>
        </w:rPr>
      </w:pPr>
      <w:r>
        <w:rPr>
          <w:rFonts w:ascii="Times New Roman"/>
        </w:rPr>
        <w:t>感染性</w:t>
      </w:r>
    </w:p>
    <w:p w14:paraId="5F2DFB01">
      <w:pPr>
        <w:pStyle w:val="56"/>
        <w:ind w:firstLine="420"/>
        <w:rPr>
          <w:rFonts w:ascii="Times New Roman"/>
        </w:rPr>
      </w:pPr>
      <w:r>
        <w:rPr>
          <w:rFonts w:ascii="Times New Roman"/>
        </w:rPr>
        <w:t>前鞭毛体密度5×107/mL～1×108/mL感染BALB/c小鼠或者金黄地鼠（5只以上，每只腹腔注射0.5 mL）3个月时，实验动物肝脏、脾脏、骨髓或皮肤组织显微镜检查利什曼原虫阳性的比率不低于80%。</w:t>
      </w:r>
    </w:p>
    <w:p w14:paraId="4685780B">
      <w:pPr>
        <w:pStyle w:val="105"/>
        <w:spacing w:before="120" w:after="120"/>
        <w:rPr>
          <w:rFonts w:ascii="Times New Roman"/>
        </w:rPr>
      </w:pPr>
      <w:r>
        <w:rPr>
          <w:rFonts w:ascii="Times New Roman"/>
        </w:rPr>
        <w:t>活性评价</w:t>
      </w:r>
    </w:p>
    <w:p w14:paraId="11DCB5EE">
      <w:pPr>
        <w:pStyle w:val="65"/>
        <w:spacing w:before="120" w:after="120"/>
        <w:rPr>
          <w:rFonts w:ascii="Times New Roman" w:eastAsia="宋体"/>
        </w:rPr>
      </w:pPr>
      <w:r>
        <w:rPr>
          <w:rFonts w:ascii="Times New Roman" w:eastAsia="宋体"/>
        </w:rPr>
        <w:t>移取约20 µL～30 µL密度约 5×10</w:t>
      </w:r>
      <w:r>
        <w:rPr>
          <w:rFonts w:ascii="Times New Roman" w:eastAsia="宋体"/>
          <w:vertAlign w:val="superscript"/>
        </w:rPr>
        <w:t>6</w:t>
      </w:r>
      <w:r>
        <w:rPr>
          <w:rFonts w:ascii="Times New Roman" w:eastAsia="宋体"/>
        </w:rPr>
        <w:t>/mL～1×10</w:t>
      </w:r>
      <w:r>
        <w:rPr>
          <w:rFonts w:ascii="Times New Roman" w:eastAsia="宋体"/>
          <w:vertAlign w:val="superscript"/>
        </w:rPr>
        <w:t>7</w:t>
      </w:r>
      <w:r>
        <w:rPr>
          <w:rFonts w:ascii="Times New Roman" w:eastAsia="宋体"/>
        </w:rPr>
        <w:t>/mL的前鞭毛体到一支加1mL洛克氏液的NNN培养基中，22℃培养20天为一代，至少应连续传3代，可稳定繁殖。</w:t>
      </w:r>
    </w:p>
    <w:p w14:paraId="2E14AB1B">
      <w:pPr>
        <w:pStyle w:val="65"/>
        <w:spacing w:before="120" w:after="120"/>
        <w:rPr>
          <w:rFonts w:ascii="Times New Roman" w:eastAsia="宋体"/>
        </w:rPr>
      </w:pPr>
      <w:r>
        <w:rPr>
          <w:rFonts w:ascii="Times New Roman" w:eastAsia="宋体"/>
        </w:rPr>
        <w:t>虫株应是纯培养物，每批次虫株需进行16S rRNA/ITS测序排除其他微生物污染。</w:t>
      </w:r>
    </w:p>
    <w:p w14:paraId="1F690851">
      <w:pPr>
        <w:pStyle w:val="65"/>
        <w:spacing w:before="120" w:after="120"/>
        <w:rPr>
          <w:rFonts w:ascii="Times New Roman" w:eastAsia="宋体"/>
        </w:rPr>
      </w:pPr>
      <w:r>
        <w:rPr>
          <w:rFonts w:ascii="Times New Roman" w:eastAsia="宋体"/>
        </w:rPr>
        <w:t>显微镜下利什曼原虫前鞭毛体运动活泼，形态正常。</w:t>
      </w:r>
    </w:p>
    <w:p w14:paraId="1E8245C6">
      <w:pPr>
        <w:pStyle w:val="105"/>
        <w:spacing w:before="120" w:after="120"/>
        <w:rPr>
          <w:rFonts w:ascii="Times New Roman"/>
        </w:rPr>
      </w:pPr>
      <w:r>
        <w:rPr>
          <w:rFonts w:ascii="Times New Roman"/>
        </w:rPr>
        <w:t>稳定性评价</w:t>
      </w:r>
    </w:p>
    <w:p w14:paraId="55E17EDA">
      <w:pPr>
        <w:pStyle w:val="65"/>
        <w:spacing w:before="120" w:after="120"/>
        <w:rPr>
          <w:rFonts w:ascii="Times New Roman"/>
        </w:rPr>
      </w:pPr>
      <w:r>
        <w:rPr>
          <w:rFonts w:ascii="Times New Roman"/>
        </w:rPr>
        <w:t>传代明确、可溯源</w:t>
      </w:r>
    </w:p>
    <w:p w14:paraId="5F1B8FC2">
      <w:pPr>
        <w:pStyle w:val="56"/>
        <w:ind w:firstLine="420"/>
        <w:rPr>
          <w:rFonts w:ascii="Times New Roman"/>
        </w:rPr>
      </w:pPr>
      <w:r>
        <w:rPr>
          <w:rFonts w:ascii="Times New Roman"/>
        </w:rPr>
        <w:t>在提交保藏机构鉴定并记录生物学特性前，原则上传代不超过5代。传代信息应包含代次、传代时间、传代培养条件等信息。</w:t>
      </w:r>
    </w:p>
    <w:p w14:paraId="3A6C7A8E">
      <w:pPr>
        <w:pStyle w:val="65"/>
        <w:spacing w:before="120" w:after="120"/>
        <w:rPr>
          <w:rFonts w:ascii="Times New Roman"/>
        </w:rPr>
      </w:pPr>
      <w:r>
        <w:rPr>
          <w:rFonts w:ascii="Times New Roman"/>
        </w:rPr>
        <w:t>培养条件稳定</w:t>
      </w:r>
    </w:p>
    <w:p w14:paraId="2A6C2526">
      <w:pPr>
        <w:pStyle w:val="56"/>
        <w:ind w:firstLine="420"/>
        <w:rPr>
          <w:rFonts w:ascii="Times New Roman"/>
        </w:rPr>
      </w:pPr>
      <w:r>
        <w:rPr>
          <w:rFonts w:ascii="Times New Roman"/>
        </w:rPr>
        <w:t>不同代次的虫株在复苏及传代过程中所使用的NNN培养基、培养温度等培养条件应一致。</w:t>
      </w:r>
    </w:p>
    <w:p w14:paraId="3A60C929">
      <w:pPr>
        <w:pStyle w:val="65"/>
        <w:spacing w:before="120" w:after="120"/>
        <w:rPr>
          <w:rFonts w:ascii="Times New Roman"/>
        </w:rPr>
      </w:pPr>
      <w:r>
        <w:rPr>
          <w:rFonts w:ascii="Times New Roman"/>
        </w:rPr>
        <w:t>形态学特征稳定</w:t>
      </w:r>
    </w:p>
    <w:p w14:paraId="480D87F5">
      <w:pPr>
        <w:pStyle w:val="56"/>
        <w:ind w:firstLine="420"/>
        <w:rPr>
          <w:rFonts w:ascii="Times New Roman"/>
        </w:rPr>
      </w:pPr>
      <w:r>
        <w:rPr>
          <w:rFonts w:ascii="Times New Roman"/>
        </w:rPr>
        <w:t>不同代次的虫株应保持形态特征相对稳定，应符合4.2.2的描述。</w:t>
      </w:r>
    </w:p>
    <w:p w14:paraId="1937190A">
      <w:pPr>
        <w:pStyle w:val="65"/>
        <w:spacing w:before="120" w:after="120"/>
        <w:rPr>
          <w:rFonts w:ascii="Times New Roman"/>
        </w:rPr>
      </w:pPr>
      <w:r>
        <w:rPr>
          <w:rFonts w:ascii="Times New Roman"/>
        </w:rPr>
        <w:t>分子特征稳定</w:t>
      </w:r>
    </w:p>
    <w:p w14:paraId="0F1F4F9E">
      <w:pPr>
        <w:pStyle w:val="56"/>
        <w:ind w:firstLine="420"/>
        <w:rPr>
          <w:rFonts w:ascii="Times New Roman"/>
        </w:rPr>
      </w:pPr>
      <w:r>
        <w:rPr>
          <w:rFonts w:ascii="Times New Roman"/>
        </w:rPr>
        <w:t>不同代次间的虫种分型应一致，分型基因突变率&lt;1%。</w:t>
      </w:r>
    </w:p>
    <w:p w14:paraId="0AF52119">
      <w:pPr>
        <w:pStyle w:val="162"/>
        <w:rPr>
          <w:rFonts w:ascii="Times New Roman"/>
        </w:rPr>
      </w:pPr>
      <w:r>
        <w:rPr>
          <w:rFonts w:ascii="Times New Roman"/>
        </w:rPr>
        <w:t>冻存和复苏信息稳定</w:t>
      </w:r>
    </w:p>
    <w:p w14:paraId="7D32B8FD">
      <w:pPr>
        <w:pStyle w:val="162"/>
        <w:numPr>
          <w:ilvl w:val="0"/>
          <w:numId w:val="0"/>
        </w:numPr>
        <w:rPr>
          <w:rFonts w:ascii="Times New Roman"/>
        </w:rPr>
      </w:pPr>
      <w:r>
        <w:rPr>
          <w:rFonts w:ascii="Times New Roman"/>
        </w:rPr>
        <w:tab/>
      </w:r>
      <w:r>
        <w:rPr>
          <w:rFonts w:ascii="Times New Roman"/>
        </w:rPr>
        <w:t>冻存保护剂及冻存/复苏程序在不同批次间应保持稳定。原虫复苏率应≥50%，且复苏后原虫生长曲线与前代相比无显著差异。冻存和复苏原虫对特定动物宿主的感染性保持稳定，应符合4.2.5的描述。</w:t>
      </w:r>
    </w:p>
    <w:p w14:paraId="6B3A55CD">
      <w:pPr>
        <w:pStyle w:val="104"/>
        <w:spacing w:before="240" w:after="240"/>
        <w:rPr>
          <w:rFonts w:ascii="Times New Roman"/>
        </w:rPr>
      </w:pPr>
      <w:bookmarkStart w:id="60" w:name="_Toc212127188"/>
      <w:r>
        <w:rPr>
          <w:rFonts w:ascii="Times New Roman"/>
        </w:rPr>
        <w:t>保藏要求</w:t>
      </w:r>
      <w:bookmarkEnd w:id="60"/>
    </w:p>
    <w:p w14:paraId="04D07565">
      <w:pPr>
        <w:pStyle w:val="105"/>
        <w:spacing w:before="120" w:after="120"/>
        <w:rPr>
          <w:rFonts w:ascii="Times New Roman"/>
        </w:rPr>
      </w:pPr>
      <w:r>
        <w:rPr>
          <w:rFonts w:ascii="Times New Roman" w:eastAsia="宋体"/>
        </w:rPr>
        <w:t>标准株须备份并存放于两个独立的保藏区域。</w:t>
      </w:r>
    </w:p>
    <w:p w14:paraId="2F227C59">
      <w:pPr>
        <w:pStyle w:val="105"/>
        <w:spacing w:before="120" w:after="120"/>
        <w:rPr>
          <w:rFonts w:ascii="Times New Roman" w:eastAsia="宋体"/>
        </w:rPr>
      </w:pPr>
      <w:r>
        <w:rPr>
          <w:rFonts w:ascii="Times New Roman" w:eastAsia="宋体"/>
        </w:rPr>
        <w:t>应在液氮（-196℃）冷冻保藏，对保藏设备及环境条件进行温度监控和记录。</w:t>
      </w:r>
    </w:p>
    <w:p w14:paraId="3C1C3AF3">
      <w:pPr>
        <w:pStyle w:val="105"/>
        <w:spacing w:before="120" w:after="120"/>
        <w:rPr>
          <w:rFonts w:ascii="Times New Roman"/>
        </w:rPr>
      </w:pPr>
      <w:r>
        <w:rPr>
          <w:rFonts w:ascii="Times New Roman" w:eastAsia="宋体"/>
        </w:rPr>
        <w:t>标准株应有唯一编码，保藏位置明确。样本管标签应在长期深低温保藏条件下保持牢固和清晰。</w:t>
      </w:r>
    </w:p>
    <w:p w14:paraId="6D193FA2">
      <w:pPr>
        <w:pStyle w:val="105"/>
        <w:spacing w:before="120" w:after="120"/>
        <w:rPr>
          <w:rFonts w:ascii="Times New Roman"/>
        </w:rPr>
      </w:pPr>
      <w:r>
        <w:rPr>
          <w:rFonts w:ascii="Times New Roman" w:eastAsia="宋体"/>
        </w:rPr>
        <w:t>转移标准株应执行保藏机构的转移程序。应减少转移次数和冻融次数</w:t>
      </w:r>
      <w:r>
        <w:rPr>
          <w:rFonts w:ascii="Times New Roman"/>
        </w:rPr>
        <w:t>。</w:t>
      </w:r>
    </w:p>
    <w:p w14:paraId="514D4713">
      <w:pPr>
        <w:pStyle w:val="105"/>
        <w:spacing w:before="120" w:after="120"/>
        <w:rPr>
          <w:rFonts w:ascii="Times New Roman" w:eastAsia="宋体"/>
        </w:rPr>
      </w:pPr>
      <w:r>
        <w:rPr>
          <w:rFonts w:ascii="Times New Roman" w:eastAsia="宋体"/>
        </w:rPr>
        <w:t>应建立保藏信息系统，保藏、使用、库存、销毁等信息应清晰、可追溯。</w:t>
      </w:r>
    </w:p>
    <w:p w14:paraId="627DEEB7">
      <w:pPr>
        <w:pStyle w:val="104"/>
        <w:spacing w:before="240" w:after="240"/>
        <w:rPr>
          <w:rFonts w:ascii="Times New Roman"/>
        </w:rPr>
      </w:pPr>
      <w:bookmarkStart w:id="61" w:name="_Toc212127189"/>
      <w:r>
        <w:rPr>
          <w:rFonts w:ascii="Times New Roman"/>
        </w:rPr>
        <w:t>质量控制要求</w:t>
      </w:r>
      <w:bookmarkEnd w:id="61"/>
    </w:p>
    <w:p w14:paraId="0FE4FE0E">
      <w:pPr>
        <w:pStyle w:val="105"/>
        <w:spacing w:before="120" w:after="120"/>
        <w:rPr>
          <w:rFonts w:ascii="Times New Roman" w:eastAsia="宋体"/>
        </w:rPr>
      </w:pPr>
      <w:r>
        <w:rPr>
          <w:rFonts w:ascii="Times New Roman" w:eastAsia="宋体"/>
        </w:rPr>
        <w:t>标准株的接收、鉴定、制备、保存、运输、分发等环节应可溯源，按照GB/T 37864和WS 315执行。</w:t>
      </w:r>
    </w:p>
    <w:p w14:paraId="4075616A">
      <w:pPr>
        <w:pStyle w:val="105"/>
        <w:spacing w:before="120" w:after="120"/>
        <w:rPr>
          <w:rFonts w:ascii="Times New Roman"/>
        </w:rPr>
      </w:pPr>
      <w:r>
        <w:rPr>
          <w:rFonts w:ascii="Times New Roman" w:eastAsia="宋体"/>
        </w:rPr>
        <w:t>分离培养、鉴定、扩增、保存等关键技术方法应依据可循证方法（国际、国内公开共识的标准或方法），并制定标准操作程序。</w:t>
      </w:r>
    </w:p>
    <w:p w14:paraId="42F97F8F">
      <w:pPr>
        <w:pStyle w:val="105"/>
        <w:spacing w:before="120" w:after="120"/>
        <w:rPr>
          <w:rFonts w:ascii="Times New Roman" w:eastAsia="宋体"/>
        </w:rPr>
      </w:pPr>
      <w:r>
        <w:rPr>
          <w:rFonts w:ascii="Times New Roman" w:eastAsia="宋体"/>
        </w:rPr>
        <w:t>相关的检测方法应参加权威机构组织的能力验证或实验室间比对。</w:t>
      </w:r>
    </w:p>
    <w:p w14:paraId="20DD6978">
      <w:pPr>
        <w:pStyle w:val="105"/>
        <w:spacing w:before="120" w:after="120"/>
        <w:rPr>
          <w:rFonts w:ascii="Times New Roman"/>
        </w:rPr>
      </w:pPr>
      <w:r>
        <w:rPr>
          <w:rFonts w:ascii="Times New Roman" w:eastAsia="宋体"/>
        </w:rPr>
        <w:t>需定期（至少每5年）抽样检查，以确定虫株的活力和纯度，并记录抽查结果。</w:t>
      </w:r>
    </w:p>
    <w:p w14:paraId="66E7C00D">
      <w:pPr>
        <w:pStyle w:val="104"/>
        <w:spacing w:before="240" w:after="240"/>
        <w:rPr>
          <w:rFonts w:ascii="Times New Roman"/>
        </w:rPr>
      </w:pPr>
      <w:bookmarkStart w:id="62" w:name="_Toc212127190"/>
      <w:r>
        <w:rPr>
          <w:rFonts w:ascii="Times New Roman"/>
        </w:rPr>
        <w:t>生物安全要求</w:t>
      </w:r>
      <w:bookmarkEnd w:id="62"/>
    </w:p>
    <w:p w14:paraId="5376BD3C">
      <w:pPr>
        <w:pStyle w:val="56"/>
        <w:ind w:firstLine="420"/>
        <w:rPr>
          <w:rFonts w:ascii="Times New Roman"/>
        </w:rPr>
      </w:pPr>
      <w:r>
        <w:rPr>
          <w:rFonts w:ascii="Times New Roman"/>
        </w:rPr>
        <w:t>实验操作应符合GB 19489和WS 233病原微生物实验室生物安全通用准则的规定。</w:t>
      </w:r>
    </w:p>
    <w:p w14:paraId="079D579D">
      <w:pPr>
        <w:pStyle w:val="104"/>
        <w:spacing w:before="240" w:after="240"/>
        <w:rPr>
          <w:rFonts w:ascii="Times New Roman"/>
        </w:rPr>
      </w:pPr>
      <w:bookmarkStart w:id="63" w:name="_Toc212127191"/>
      <w:r>
        <w:rPr>
          <w:rFonts w:ascii="Times New Roman"/>
        </w:rPr>
        <w:t>伦理要求</w:t>
      </w:r>
      <w:bookmarkEnd w:id="63"/>
    </w:p>
    <w:p w14:paraId="5E82B05E">
      <w:pPr>
        <w:pStyle w:val="56"/>
        <w:ind w:firstLine="420"/>
        <w:rPr>
          <w:rFonts w:hint="eastAsia" w:ascii="Times New Roman"/>
        </w:rPr>
      </w:pPr>
      <w:r>
        <w:rPr>
          <w:rFonts w:ascii="Times New Roman"/>
        </w:rPr>
        <w:t>人源分离株的获取和动物模型验证标准株感染性时需提供申请机构伦理委员会批准文件。</w:t>
      </w:r>
    </w:p>
    <w:p w14:paraId="07350F5E">
      <w:pPr>
        <w:pStyle w:val="56"/>
        <w:ind w:firstLine="420"/>
        <w:rPr>
          <w:rFonts w:ascii="Times New Roman"/>
        </w:rPr>
      </w:pPr>
    </w:p>
    <w:p w14:paraId="40AB97B8">
      <w:pPr>
        <w:pStyle w:val="56"/>
        <w:ind w:firstLine="420"/>
        <w:rPr>
          <w:rFonts w:ascii="Times New Roman"/>
        </w:rPr>
        <w:sectPr>
          <w:pgSz w:w="11906" w:h="16838"/>
          <w:pgMar w:top="1928" w:right="1134" w:bottom="1134" w:left="1134" w:header="1418" w:footer="1134" w:gutter="284"/>
          <w:pgNumType w:start="1"/>
          <w:cols w:space="425" w:num="1"/>
          <w:formProt w:val="0"/>
          <w:docGrid w:linePitch="312" w:charSpace="0"/>
        </w:sectPr>
      </w:pPr>
    </w:p>
    <w:bookmarkEnd w:id="28"/>
    <w:p w14:paraId="1DB06E07">
      <w:pPr>
        <w:pStyle w:val="198"/>
        <w:rPr>
          <w:rFonts w:ascii="Times New Roman" w:hAnsi="Times New Roman"/>
          <w:vanish w:val="0"/>
        </w:rPr>
      </w:pPr>
      <w:bookmarkStart w:id="64" w:name="BookMark5"/>
    </w:p>
    <w:p w14:paraId="7B893586">
      <w:pPr>
        <w:pStyle w:val="199"/>
        <w:rPr>
          <w:rFonts w:ascii="Times New Roman"/>
          <w:vanish w:val="0"/>
        </w:rPr>
      </w:pPr>
    </w:p>
    <w:p w14:paraId="1BA372D1">
      <w:pPr>
        <w:pStyle w:val="76"/>
        <w:spacing w:after="120"/>
        <w:rPr>
          <w:rFonts w:ascii="Times New Roman"/>
        </w:rPr>
      </w:pPr>
      <w:r>
        <w:rPr>
          <w:rFonts w:ascii="Times New Roman"/>
        </w:rPr>
        <w:br w:type="textWrapping"/>
      </w:r>
      <w:bookmarkStart w:id="65" w:name="_Toc201759944"/>
      <w:bookmarkStart w:id="66" w:name="_Toc212127193"/>
      <w:r>
        <w:rPr>
          <w:rFonts w:ascii="Times New Roman"/>
        </w:rPr>
        <w:t>（规范性）</w:t>
      </w:r>
      <w:r>
        <w:rPr>
          <w:rFonts w:ascii="Times New Roman"/>
        </w:rPr>
        <w:br w:type="textWrapping"/>
      </w:r>
      <w:bookmarkEnd w:id="65"/>
      <w:r>
        <w:rPr>
          <w:rFonts w:hint="eastAsia" w:ascii="Times New Roman"/>
        </w:rPr>
        <w:t>利什曼原虫标准株信息描述</w:t>
      </w:r>
      <w:bookmarkEnd w:id="66"/>
    </w:p>
    <w:p w14:paraId="4F7A3842">
      <w:pPr>
        <w:pStyle w:val="77"/>
        <w:numPr>
          <w:ilvl w:val="0"/>
          <w:numId w:val="0"/>
        </w:numPr>
        <w:spacing w:before="120" w:after="120"/>
        <w:jc w:val="both"/>
        <w:rPr>
          <w:rFonts w:ascii="Times New Roman"/>
        </w:rPr>
      </w:pPr>
      <w:r>
        <w:rPr>
          <w:rFonts w:hint="eastAsia" w:ascii="Times New Roman"/>
        </w:rPr>
        <w:t>利什曼原虫标准株信息描述见表A.1。</w:t>
      </w:r>
    </w:p>
    <w:p w14:paraId="4DF25B6E">
      <w:pPr>
        <w:pStyle w:val="77"/>
        <w:spacing w:before="120" w:after="120"/>
        <w:rPr>
          <w:rFonts w:ascii="Times New Roman"/>
        </w:rPr>
      </w:pPr>
      <w:r>
        <w:rPr>
          <w:rFonts w:hint="eastAsia" w:ascii="Times New Roman"/>
        </w:rPr>
        <w:t>利什曼原虫标准株信息描述</w:t>
      </w:r>
    </w:p>
    <w:tbl>
      <w:tblPr>
        <w:tblStyle w:val="232"/>
        <w:tblW w:w="850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34"/>
        <w:gridCol w:w="1984"/>
        <w:gridCol w:w="1134"/>
        <w:gridCol w:w="3147"/>
      </w:tblGrid>
      <w:tr w14:paraId="0AAF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3"/>
            <w:tcBorders>
              <w:top w:val="single" w:color="auto" w:sz="4" w:space="0"/>
              <w:left w:val="single" w:color="auto" w:sz="4" w:space="0"/>
              <w:bottom w:val="single" w:color="auto" w:sz="4" w:space="0"/>
              <w:right w:val="single" w:color="auto" w:sz="4" w:space="0"/>
            </w:tcBorders>
            <w:vAlign w:val="center"/>
          </w:tcPr>
          <w:p w14:paraId="34EFEF86">
            <w:pPr>
              <w:rPr>
                <w:rFonts w:ascii="Times New Roman" w:hAnsi="Times New Roman" w:eastAsia="宋体"/>
              </w:rPr>
            </w:pPr>
            <w:r>
              <w:rPr>
                <w:rFonts w:ascii="宋体" w:hAnsi="宋体" w:eastAsia="Times New Roman"/>
              </w:rPr>
              <w:t>信息</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04EAE0F">
            <w:pPr>
              <w:jc w:val="center"/>
              <w:rPr>
                <w:rFonts w:ascii="Times New Roman" w:hAnsi="Times New Roman" w:eastAsia="宋体"/>
              </w:rPr>
            </w:pPr>
            <w:r>
              <w:rPr>
                <w:rFonts w:ascii="宋体" w:hAnsi="宋体" w:eastAsia="Times New Roman"/>
              </w:rPr>
              <w:t>内容</w:t>
            </w:r>
          </w:p>
        </w:tc>
      </w:tr>
      <w:tr w14:paraId="29A7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nil"/>
              <w:left w:val="single" w:color="auto" w:sz="4" w:space="0"/>
              <w:bottom w:val="single" w:color="auto" w:sz="4" w:space="0"/>
              <w:right w:val="single" w:color="auto" w:sz="4" w:space="0"/>
            </w:tcBorders>
            <w:vAlign w:val="center"/>
          </w:tcPr>
          <w:p w14:paraId="54693AA0">
            <w:pPr>
              <w:rPr>
                <w:rFonts w:ascii="Times New Roman" w:hAnsi="Times New Roman" w:eastAsia="宋体"/>
              </w:rPr>
            </w:pPr>
            <w:r>
              <w:rPr>
                <w:rFonts w:ascii="宋体" w:hAnsi="宋体" w:eastAsia="Times New Roman"/>
              </w:rPr>
              <w:t>基本信息</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10D701F9">
            <w:pPr>
              <w:rPr>
                <w:rFonts w:ascii="Times New Roman" w:hAnsi="Times New Roman" w:eastAsia="宋体"/>
              </w:rPr>
            </w:pPr>
            <w:r>
              <w:rPr>
                <w:rFonts w:ascii="宋体" w:hAnsi="宋体" w:eastAsia="Times New Roman"/>
              </w:rPr>
              <w:t>中文名称</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2738CA4">
            <w:pPr>
              <w:rPr>
                <w:rFonts w:ascii="Times New Roman" w:hAnsi="Times New Roman" w:eastAsia="宋体"/>
              </w:rPr>
            </w:pPr>
          </w:p>
        </w:tc>
      </w:tr>
      <w:tr w14:paraId="05D7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C3D36ED">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38EB1DDE">
            <w:pPr>
              <w:rPr>
                <w:rFonts w:ascii="Times New Roman" w:hAnsi="Times New Roman" w:eastAsia="宋体"/>
              </w:rPr>
            </w:pPr>
            <w:r>
              <w:rPr>
                <w:rFonts w:hint="eastAsia" w:ascii="宋体" w:hAnsi="宋体" w:eastAsia="Times New Roman"/>
              </w:rPr>
              <w:t>拉丁</w:t>
            </w:r>
            <w:r>
              <w:rPr>
                <w:rFonts w:ascii="宋体" w:hAnsi="宋体" w:eastAsia="Times New Roman"/>
              </w:rPr>
              <w:t>名称</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E538516">
            <w:pPr>
              <w:rPr>
                <w:rFonts w:ascii="Times New Roman" w:hAnsi="Times New Roman" w:eastAsia="宋体"/>
                <w:i/>
              </w:rPr>
            </w:pPr>
          </w:p>
        </w:tc>
      </w:tr>
      <w:tr w14:paraId="09D3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0C0E14B">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25C079B2">
            <w:pPr>
              <w:rPr>
                <w:rFonts w:ascii="Times New Roman" w:hAnsi="Times New Roman" w:eastAsia="宋体"/>
              </w:rPr>
            </w:pPr>
            <w:r>
              <w:rPr>
                <w:rFonts w:hint="eastAsia" w:ascii="宋体" w:hAnsi="宋体" w:eastAsia="Times New Roman"/>
              </w:rPr>
              <w:t>流行区类型</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244F54BF">
            <w:pPr>
              <w:rPr>
                <w:rFonts w:ascii="Times New Roman" w:hAnsi="Times New Roman" w:eastAsia="Times New Roman"/>
              </w:rPr>
            </w:pPr>
            <w:r>
              <w:rPr>
                <w:rFonts w:hint="eastAsia" w:ascii="宋体" w:hAnsi="宋体" w:eastAsia="Times New Roman"/>
              </w:rPr>
              <w:t>人源型</w:t>
            </w:r>
            <w:r>
              <w:rPr>
                <w:rFonts w:ascii="Wingdings" w:hAnsi="Wingdings" w:eastAsia="Times New Roman"/>
              </w:rPr>
              <w:t></w:t>
            </w:r>
          </w:p>
          <w:p w14:paraId="47F9897D">
            <w:pPr>
              <w:rPr>
                <w:rFonts w:ascii="Times New Roman" w:hAnsi="Times New Roman" w:eastAsia="Times New Roman"/>
              </w:rPr>
            </w:pPr>
            <w:r>
              <w:rPr>
                <w:rFonts w:hint="eastAsia" w:ascii="宋体" w:hAnsi="宋体" w:eastAsia="Times New Roman"/>
              </w:rPr>
              <w:t>犬源型</w:t>
            </w:r>
            <w:r>
              <w:rPr>
                <w:rFonts w:ascii="Wingdings" w:hAnsi="Wingdings" w:eastAsia="Times New Roman"/>
              </w:rPr>
              <w:t></w:t>
            </w:r>
          </w:p>
          <w:p w14:paraId="465D18F0">
            <w:pPr>
              <w:rPr>
                <w:rFonts w:ascii="Times New Roman" w:hAnsi="Times New Roman" w:eastAsia="Times New Roman"/>
              </w:rPr>
            </w:pPr>
            <w:r>
              <w:rPr>
                <w:rFonts w:hint="eastAsia" w:ascii="宋体" w:hAnsi="宋体" w:eastAsia="Times New Roman"/>
              </w:rPr>
              <w:t>自然疫源型</w:t>
            </w:r>
            <w:r>
              <w:rPr>
                <w:rFonts w:ascii="Wingdings" w:hAnsi="Wingdings" w:eastAsia="Times New Roman"/>
              </w:rPr>
              <w:t></w:t>
            </w:r>
          </w:p>
          <w:p w14:paraId="2E6C7A9D">
            <w:pPr>
              <w:rPr>
                <w:rFonts w:ascii="Times New Roman" w:hAnsi="Times New Roman" w:eastAsia="宋体"/>
              </w:rPr>
            </w:pPr>
            <w:r>
              <w:rPr>
                <w:rFonts w:hint="eastAsia" w:ascii="宋体" w:hAnsi="宋体" w:eastAsia="Times New Roman"/>
              </w:rPr>
              <w:t>皮肤利什曼病</w:t>
            </w:r>
            <w:r>
              <w:rPr>
                <w:rFonts w:ascii="Wingdings" w:hAnsi="Wingdings" w:eastAsia="Times New Roman"/>
              </w:rPr>
              <w:t></w:t>
            </w:r>
          </w:p>
        </w:tc>
      </w:tr>
      <w:tr w14:paraId="21B5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205F860">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6A13960F">
            <w:pPr>
              <w:rPr>
                <w:rFonts w:ascii="Times New Roman" w:hAnsi="Times New Roman" w:eastAsia="宋体"/>
              </w:rPr>
            </w:pPr>
            <w:r>
              <w:rPr>
                <w:rFonts w:hint="eastAsia" w:ascii="宋体" w:hAnsi="宋体" w:eastAsia="Times New Roman"/>
              </w:rPr>
              <w:t>标准株编号</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4B2D008">
            <w:pPr>
              <w:rPr>
                <w:rFonts w:ascii="Times New Roman" w:hAnsi="Times New Roman" w:eastAsia="宋体"/>
              </w:rPr>
            </w:pPr>
          </w:p>
        </w:tc>
      </w:tr>
      <w:tr w14:paraId="1A3BA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87DE79A">
            <w:pPr>
              <w:widowControl/>
              <w:adjustRightInd/>
              <w:spacing w:line="240" w:lineRule="auto"/>
              <w:jc w:val="left"/>
              <w:rPr>
                <w:rFonts w:ascii="Times New Roman" w:hAnsi="Times New Roman" w:eastAsia="宋体"/>
              </w:rPr>
            </w:pPr>
          </w:p>
        </w:tc>
        <w:tc>
          <w:tcPr>
            <w:tcW w:w="1134" w:type="dxa"/>
            <w:vMerge w:val="restart"/>
            <w:tcBorders>
              <w:top w:val="nil"/>
              <w:left w:val="single" w:color="auto" w:sz="4" w:space="0"/>
              <w:bottom w:val="single" w:color="auto" w:sz="4" w:space="0"/>
              <w:right w:val="single" w:color="auto" w:sz="4" w:space="0"/>
            </w:tcBorders>
            <w:vAlign w:val="center"/>
          </w:tcPr>
          <w:p w14:paraId="4854B3A8">
            <w:pPr>
              <w:rPr>
                <w:rFonts w:ascii="Times New Roman" w:hAnsi="Times New Roman" w:eastAsia="宋体"/>
              </w:rPr>
            </w:pPr>
            <w:r>
              <w:rPr>
                <w:rFonts w:hint="eastAsia" w:ascii="宋体" w:hAnsi="宋体" w:eastAsia="Times New Roman"/>
              </w:rPr>
              <w:t>背景信息</w:t>
            </w:r>
          </w:p>
        </w:tc>
        <w:tc>
          <w:tcPr>
            <w:tcW w:w="1984" w:type="dxa"/>
            <w:tcBorders>
              <w:top w:val="single" w:color="auto" w:sz="4" w:space="0"/>
              <w:left w:val="single" w:color="auto" w:sz="4" w:space="0"/>
              <w:bottom w:val="single" w:color="auto" w:sz="4" w:space="0"/>
              <w:right w:val="single" w:color="auto" w:sz="4" w:space="0"/>
            </w:tcBorders>
            <w:vAlign w:val="center"/>
          </w:tcPr>
          <w:p w14:paraId="1A56C560">
            <w:pPr>
              <w:rPr>
                <w:rFonts w:ascii="Times New Roman" w:hAnsi="Times New Roman" w:eastAsia="宋体"/>
              </w:rPr>
            </w:pPr>
            <w:r>
              <w:rPr>
                <w:rFonts w:hint="eastAsia" w:ascii="宋体" w:hAnsi="宋体" w:eastAsia="Times New Roman"/>
              </w:rPr>
              <w:t>原始编号</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82C9092">
            <w:pPr>
              <w:rPr>
                <w:rFonts w:ascii="Times New Roman" w:hAnsi="Times New Roman" w:eastAsia="宋体"/>
              </w:rPr>
            </w:pPr>
          </w:p>
        </w:tc>
      </w:tr>
      <w:tr w14:paraId="31F76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2E6C0E0">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50C045D0">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0383BA08">
            <w:pPr>
              <w:rPr>
                <w:rFonts w:ascii="Times New Roman" w:hAnsi="Times New Roman" w:eastAsia="宋体"/>
              </w:rPr>
            </w:pPr>
            <w:r>
              <w:rPr>
                <w:rFonts w:hint="eastAsia" w:ascii="宋体" w:hAnsi="宋体" w:eastAsia="Times New Roman"/>
              </w:rPr>
              <w:t>分离时间</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6FC8C6CC">
            <w:pPr>
              <w:rPr>
                <w:rFonts w:ascii="Times New Roman" w:hAnsi="Times New Roman" w:eastAsia="宋体"/>
              </w:rPr>
            </w:pPr>
          </w:p>
        </w:tc>
      </w:tr>
      <w:tr w14:paraId="44FD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91DD666">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7D1E4893">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6437AFBA">
            <w:pPr>
              <w:rPr>
                <w:rFonts w:ascii="Times New Roman" w:hAnsi="Times New Roman" w:eastAsia="宋体"/>
              </w:rPr>
            </w:pPr>
            <w:r>
              <w:rPr>
                <w:rFonts w:hint="eastAsia" w:ascii="宋体" w:hAnsi="宋体" w:eastAsia="Times New Roman"/>
              </w:rPr>
              <w:t>分离地点</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160BB54B">
            <w:pPr>
              <w:rPr>
                <w:rFonts w:ascii="Times New Roman" w:hAnsi="Times New Roman" w:eastAsia="宋体"/>
              </w:rPr>
            </w:pPr>
          </w:p>
        </w:tc>
      </w:tr>
      <w:tr w14:paraId="6E63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CFAC4B7">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148508AD">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2742771E">
            <w:pPr>
              <w:rPr>
                <w:rFonts w:ascii="Times New Roman" w:hAnsi="Times New Roman" w:eastAsia="宋体"/>
              </w:rPr>
            </w:pPr>
            <w:r>
              <w:rPr>
                <w:rFonts w:hint="eastAsia" w:ascii="宋体" w:hAnsi="宋体" w:eastAsia="Times New Roman"/>
              </w:rPr>
              <w:t>分离基物</w:t>
            </w:r>
            <w:r>
              <w:rPr>
                <w:rFonts w:hint="eastAsia" w:ascii="Times New Roman" w:hAnsi="Times New Roman" w:eastAsia="Times New Roman"/>
                <w:vertAlign w:val="superscript"/>
              </w:rPr>
              <w:t>a</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84C8152">
            <w:pPr>
              <w:rPr>
                <w:rFonts w:ascii="Times New Roman" w:hAnsi="Times New Roman" w:eastAsia="宋体"/>
              </w:rPr>
            </w:pPr>
          </w:p>
        </w:tc>
      </w:tr>
      <w:tr w14:paraId="5D223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36C454F">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622B951C">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736D1C1F">
            <w:pPr>
              <w:rPr>
                <w:rFonts w:ascii="Times New Roman" w:hAnsi="Times New Roman" w:eastAsia="宋体"/>
              </w:rPr>
            </w:pPr>
            <w:r>
              <w:rPr>
                <w:rFonts w:hint="eastAsia" w:ascii="宋体" w:hAnsi="宋体" w:eastAsia="Times New Roman"/>
              </w:rPr>
              <w:t>基物采集时间</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9C62269">
            <w:pPr>
              <w:rPr>
                <w:rFonts w:ascii="Times New Roman" w:hAnsi="Times New Roman" w:eastAsia="宋体"/>
              </w:rPr>
            </w:pPr>
          </w:p>
        </w:tc>
      </w:tr>
      <w:tr w14:paraId="1564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E09080D">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71B54568">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3DEC79DD">
            <w:pPr>
              <w:rPr>
                <w:rFonts w:ascii="Times New Roman" w:hAnsi="Times New Roman" w:eastAsia="宋体"/>
              </w:rPr>
            </w:pPr>
            <w:r>
              <w:rPr>
                <w:rFonts w:hint="eastAsia" w:ascii="宋体" w:hAnsi="宋体" w:eastAsia="Times New Roman"/>
              </w:rPr>
              <w:t>基物采集地址</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4236089B">
            <w:pPr>
              <w:rPr>
                <w:rFonts w:ascii="Times New Roman" w:hAnsi="Times New Roman" w:eastAsia="宋体"/>
              </w:rPr>
            </w:pPr>
          </w:p>
        </w:tc>
      </w:tr>
      <w:tr w14:paraId="2F0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44A4EA1">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42E77773">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37DD4DC2">
            <w:pPr>
              <w:rPr>
                <w:rFonts w:ascii="Times New Roman" w:hAnsi="Times New Roman" w:eastAsia="宋体"/>
              </w:rPr>
            </w:pPr>
            <w:r>
              <w:rPr>
                <w:rFonts w:hint="eastAsia" w:ascii="宋体" w:hAnsi="宋体" w:eastAsia="Times New Roman"/>
              </w:rPr>
              <w:t>致病对象</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68983C62">
            <w:pPr>
              <w:rPr>
                <w:rFonts w:ascii="Times New Roman" w:hAnsi="Times New Roman" w:eastAsia="宋体"/>
              </w:rPr>
            </w:pPr>
          </w:p>
        </w:tc>
      </w:tr>
      <w:tr w14:paraId="7036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4992538">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698858DC">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08706B36">
            <w:pPr>
              <w:rPr>
                <w:rFonts w:ascii="Times New Roman" w:hAnsi="Times New Roman" w:eastAsia="宋体"/>
              </w:rPr>
            </w:pPr>
            <w:r>
              <w:rPr>
                <w:rFonts w:hint="eastAsia" w:ascii="宋体" w:hAnsi="宋体" w:eastAsia="Times New Roman"/>
              </w:rPr>
              <w:t>所致疾病名称</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DD7D2D1">
            <w:pPr>
              <w:rPr>
                <w:rFonts w:ascii="Times New Roman" w:hAnsi="Times New Roman" w:eastAsia="宋体"/>
              </w:rPr>
            </w:pPr>
          </w:p>
        </w:tc>
      </w:tr>
      <w:tr w14:paraId="2635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18DC6AC2">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444C247C">
            <w:pPr>
              <w:widowControl/>
              <w:adjustRightInd/>
              <w:spacing w:line="240" w:lineRule="auto"/>
              <w:jc w:val="left"/>
              <w:rPr>
                <w:rFonts w:ascii="Times New Roman" w:hAnsi="Times New Roman" w:eastAsia="宋体"/>
              </w:rPr>
            </w:pPr>
          </w:p>
        </w:tc>
        <w:tc>
          <w:tcPr>
            <w:tcW w:w="1984" w:type="dxa"/>
            <w:vMerge w:val="restart"/>
            <w:tcBorders>
              <w:top w:val="nil"/>
              <w:left w:val="single" w:color="auto" w:sz="4" w:space="0"/>
              <w:bottom w:val="single" w:color="auto" w:sz="4" w:space="0"/>
              <w:right w:val="single" w:color="auto" w:sz="4" w:space="0"/>
            </w:tcBorders>
            <w:vAlign w:val="center"/>
          </w:tcPr>
          <w:p w14:paraId="7D1F2884">
            <w:pPr>
              <w:rPr>
                <w:rFonts w:ascii="Times New Roman" w:hAnsi="Times New Roman" w:eastAsia="Times New Roman"/>
              </w:rPr>
            </w:pPr>
            <w:r>
              <w:rPr>
                <w:rFonts w:hint="eastAsia" w:ascii="宋体" w:hAnsi="宋体" w:eastAsia="Times New Roman"/>
              </w:rPr>
              <w:t>利什曼病</w:t>
            </w:r>
          </w:p>
          <w:p w14:paraId="0D4D1BF3">
            <w:pPr>
              <w:rPr>
                <w:rFonts w:ascii="Times New Roman" w:hAnsi="Times New Roman" w:eastAsia="宋体"/>
              </w:rPr>
            </w:pPr>
            <w:r>
              <w:rPr>
                <w:rFonts w:hint="eastAsia" w:ascii="宋体" w:hAnsi="宋体" w:eastAsia="Times New Roman"/>
              </w:rPr>
              <w:t>患者信息</w:t>
            </w:r>
            <w:r>
              <w:rPr>
                <w:rFonts w:hint="eastAsia" w:ascii="Times New Roman" w:hAnsi="Times New Roman" w:eastAsia="Times New Roman"/>
                <w:vertAlign w:val="superscript"/>
              </w:rPr>
              <w:t>b</w:t>
            </w:r>
          </w:p>
        </w:tc>
        <w:tc>
          <w:tcPr>
            <w:tcW w:w="1134" w:type="dxa"/>
            <w:tcBorders>
              <w:top w:val="single" w:color="auto" w:sz="4" w:space="0"/>
              <w:left w:val="single" w:color="auto" w:sz="4" w:space="0"/>
              <w:bottom w:val="single" w:color="auto" w:sz="4" w:space="0"/>
              <w:right w:val="single" w:color="auto" w:sz="4" w:space="0"/>
            </w:tcBorders>
            <w:vAlign w:val="center"/>
          </w:tcPr>
          <w:p w14:paraId="46E9B671">
            <w:pPr>
              <w:rPr>
                <w:rFonts w:ascii="Times New Roman" w:hAnsi="Times New Roman" w:eastAsia="宋体"/>
              </w:rPr>
            </w:pPr>
            <w:r>
              <w:rPr>
                <w:rFonts w:hint="eastAsia" w:ascii="宋体" w:hAnsi="宋体" w:eastAsia="Times New Roman"/>
              </w:rPr>
              <w:t>性别</w:t>
            </w:r>
          </w:p>
        </w:tc>
        <w:tc>
          <w:tcPr>
            <w:tcW w:w="3147" w:type="dxa"/>
            <w:tcBorders>
              <w:top w:val="single" w:color="auto" w:sz="4" w:space="0"/>
              <w:left w:val="single" w:color="auto" w:sz="4" w:space="0"/>
              <w:bottom w:val="single" w:color="auto" w:sz="4" w:space="0"/>
              <w:right w:val="single" w:color="auto" w:sz="4" w:space="0"/>
            </w:tcBorders>
            <w:vAlign w:val="center"/>
          </w:tcPr>
          <w:p w14:paraId="2681BE93">
            <w:pPr>
              <w:rPr>
                <w:rFonts w:ascii="Times New Roman" w:hAnsi="Times New Roman" w:eastAsia="宋体"/>
              </w:rPr>
            </w:pPr>
          </w:p>
        </w:tc>
      </w:tr>
      <w:tr w14:paraId="04194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2CAC43C">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32703E8A">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2C9F11FA">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4442D94">
            <w:pPr>
              <w:rPr>
                <w:rFonts w:ascii="Times New Roman" w:hAnsi="Times New Roman" w:eastAsia="宋体"/>
              </w:rPr>
            </w:pPr>
            <w:r>
              <w:rPr>
                <w:rFonts w:hint="eastAsia" w:ascii="宋体" w:hAnsi="宋体" w:eastAsia="Times New Roman"/>
              </w:rPr>
              <w:t>年龄</w:t>
            </w:r>
          </w:p>
        </w:tc>
        <w:tc>
          <w:tcPr>
            <w:tcW w:w="3147" w:type="dxa"/>
            <w:tcBorders>
              <w:top w:val="single" w:color="auto" w:sz="4" w:space="0"/>
              <w:left w:val="single" w:color="auto" w:sz="4" w:space="0"/>
              <w:bottom w:val="single" w:color="auto" w:sz="4" w:space="0"/>
              <w:right w:val="single" w:color="auto" w:sz="4" w:space="0"/>
            </w:tcBorders>
            <w:vAlign w:val="center"/>
          </w:tcPr>
          <w:p w14:paraId="74D4F4A2">
            <w:pPr>
              <w:rPr>
                <w:rFonts w:ascii="Times New Roman" w:hAnsi="Times New Roman" w:eastAsia="宋体"/>
              </w:rPr>
            </w:pPr>
          </w:p>
        </w:tc>
      </w:tr>
      <w:tr w14:paraId="421A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EBA4FFA">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2DAB910A">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25C7CA85">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20F3B4A9">
            <w:pPr>
              <w:rPr>
                <w:rFonts w:ascii="Times New Roman" w:hAnsi="Times New Roman" w:eastAsia="宋体"/>
              </w:rPr>
            </w:pPr>
            <w:r>
              <w:rPr>
                <w:rFonts w:hint="eastAsia" w:ascii="宋体" w:hAnsi="宋体" w:eastAsia="Times New Roman"/>
              </w:rPr>
              <w:t>感染途径</w:t>
            </w:r>
          </w:p>
        </w:tc>
        <w:tc>
          <w:tcPr>
            <w:tcW w:w="3147" w:type="dxa"/>
            <w:tcBorders>
              <w:top w:val="single" w:color="auto" w:sz="4" w:space="0"/>
              <w:left w:val="single" w:color="auto" w:sz="4" w:space="0"/>
              <w:bottom w:val="single" w:color="auto" w:sz="4" w:space="0"/>
              <w:right w:val="single" w:color="auto" w:sz="4" w:space="0"/>
            </w:tcBorders>
            <w:vAlign w:val="center"/>
          </w:tcPr>
          <w:p w14:paraId="1D5C85BE">
            <w:pPr>
              <w:rPr>
                <w:rFonts w:ascii="Times New Roman" w:hAnsi="Times New Roman" w:eastAsia="宋体"/>
              </w:rPr>
            </w:pPr>
          </w:p>
        </w:tc>
      </w:tr>
      <w:tr w14:paraId="1FDA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9451CF8">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6B81DB65">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5A241F7C">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F063756">
            <w:pPr>
              <w:rPr>
                <w:rFonts w:ascii="Times New Roman" w:hAnsi="Times New Roman" w:eastAsia="宋体"/>
              </w:rPr>
            </w:pPr>
            <w:r>
              <w:rPr>
                <w:rFonts w:hint="eastAsia" w:ascii="宋体" w:hAnsi="宋体" w:eastAsia="Times New Roman"/>
              </w:rPr>
              <w:t>诊断时间</w:t>
            </w:r>
          </w:p>
        </w:tc>
        <w:tc>
          <w:tcPr>
            <w:tcW w:w="3147" w:type="dxa"/>
            <w:tcBorders>
              <w:top w:val="single" w:color="auto" w:sz="4" w:space="0"/>
              <w:left w:val="single" w:color="auto" w:sz="4" w:space="0"/>
              <w:bottom w:val="single" w:color="auto" w:sz="4" w:space="0"/>
              <w:right w:val="single" w:color="auto" w:sz="4" w:space="0"/>
            </w:tcBorders>
            <w:vAlign w:val="center"/>
          </w:tcPr>
          <w:p w14:paraId="7F679FF3">
            <w:pPr>
              <w:rPr>
                <w:rFonts w:ascii="Times New Roman" w:hAnsi="Times New Roman" w:eastAsia="宋体"/>
              </w:rPr>
            </w:pPr>
          </w:p>
        </w:tc>
      </w:tr>
      <w:tr w14:paraId="213E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B1E69EE">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7880430E">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256D5030">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488A62C9">
            <w:pPr>
              <w:rPr>
                <w:rFonts w:ascii="Times New Roman" w:hAnsi="Times New Roman" w:eastAsia="宋体"/>
              </w:rPr>
            </w:pPr>
            <w:r>
              <w:rPr>
                <w:rFonts w:hint="eastAsia" w:ascii="宋体" w:hAnsi="宋体" w:eastAsia="Times New Roman"/>
              </w:rPr>
              <w:t>治疗情况</w:t>
            </w:r>
          </w:p>
        </w:tc>
        <w:tc>
          <w:tcPr>
            <w:tcW w:w="3147" w:type="dxa"/>
            <w:tcBorders>
              <w:top w:val="single" w:color="auto" w:sz="4" w:space="0"/>
              <w:left w:val="single" w:color="auto" w:sz="4" w:space="0"/>
              <w:bottom w:val="single" w:color="auto" w:sz="4" w:space="0"/>
              <w:right w:val="single" w:color="auto" w:sz="4" w:space="0"/>
            </w:tcBorders>
            <w:vAlign w:val="center"/>
          </w:tcPr>
          <w:p w14:paraId="267B0583">
            <w:pPr>
              <w:rPr>
                <w:rFonts w:ascii="Times New Roman" w:hAnsi="Times New Roman" w:eastAsia="宋体"/>
              </w:rPr>
            </w:pPr>
          </w:p>
        </w:tc>
      </w:tr>
      <w:tr w14:paraId="193C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D65D1EB">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5CE1EF4A">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03034DC0">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E528B93">
            <w:pPr>
              <w:rPr>
                <w:rFonts w:ascii="Times New Roman" w:hAnsi="Times New Roman" w:eastAsia="宋体"/>
              </w:rPr>
            </w:pPr>
            <w:r>
              <w:rPr>
                <w:rFonts w:hint="eastAsia" w:ascii="宋体" w:hAnsi="宋体" w:eastAsia="Times New Roman"/>
              </w:rPr>
              <w:t>检测情况</w:t>
            </w:r>
          </w:p>
        </w:tc>
        <w:tc>
          <w:tcPr>
            <w:tcW w:w="3147" w:type="dxa"/>
            <w:tcBorders>
              <w:top w:val="single" w:color="auto" w:sz="4" w:space="0"/>
              <w:left w:val="single" w:color="auto" w:sz="4" w:space="0"/>
              <w:bottom w:val="single" w:color="auto" w:sz="4" w:space="0"/>
              <w:right w:val="single" w:color="auto" w:sz="4" w:space="0"/>
            </w:tcBorders>
            <w:vAlign w:val="center"/>
          </w:tcPr>
          <w:p w14:paraId="0EAD954C">
            <w:pPr>
              <w:rPr>
                <w:rFonts w:ascii="Times New Roman" w:hAnsi="Times New Roman" w:eastAsia="宋体"/>
              </w:rPr>
            </w:pPr>
          </w:p>
        </w:tc>
      </w:tr>
      <w:tr w14:paraId="61D5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1E1E786">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3F3966FB">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0F1783DD">
            <w:pPr>
              <w:rPr>
                <w:rFonts w:ascii="Times New Roman" w:hAnsi="Times New Roman" w:eastAsia="宋体"/>
              </w:rPr>
            </w:pPr>
            <w:r>
              <w:rPr>
                <w:rFonts w:hint="eastAsia" w:ascii="宋体" w:hAnsi="宋体" w:eastAsia="Times New Roman"/>
              </w:rPr>
              <w:t>来源历史</w:t>
            </w:r>
            <w:r>
              <w:rPr>
                <w:rFonts w:hint="eastAsia" w:ascii="Times New Roman" w:hAnsi="Times New Roman" w:eastAsia="Times New Roman"/>
                <w:vertAlign w:val="superscript"/>
              </w:rPr>
              <w:t>c</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906E8D8">
            <w:pPr>
              <w:rPr>
                <w:rFonts w:ascii="Times New Roman" w:hAnsi="Times New Roman" w:eastAsia="宋体"/>
              </w:rPr>
            </w:pPr>
          </w:p>
        </w:tc>
      </w:tr>
      <w:tr w14:paraId="4E293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E462FC6">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7CDA250B">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065414AA">
            <w:pPr>
              <w:rPr>
                <w:rFonts w:ascii="Times New Roman" w:hAnsi="Times New Roman" w:eastAsia="宋体"/>
              </w:rPr>
            </w:pPr>
            <w:r>
              <w:rPr>
                <w:rFonts w:hint="eastAsia" w:ascii="宋体" w:hAnsi="宋体" w:eastAsia="Times New Roman"/>
              </w:rPr>
              <w:t>递送者</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28445B34">
            <w:pPr>
              <w:rPr>
                <w:rFonts w:ascii="Times New Roman" w:hAnsi="Times New Roman" w:eastAsia="宋体"/>
              </w:rPr>
            </w:pPr>
          </w:p>
        </w:tc>
      </w:tr>
      <w:tr w14:paraId="586E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601BA80">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0FE10545">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62062276">
            <w:pPr>
              <w:rPr>
                <w:rFonts w:ascii="Times New Roman" w:hAnsi="Times New Roman" w:eastAsia="宋体"/>
              </w:rPr>
            </w:pPr>
            <w:r>
              <w:rPr>
                <w:rFonts w:hint="eastAsia" w:ascii="宋体" w:hAnsi="宋体" w:eastAsia="Times New Roman"/>
              </w:rPr>
              <w:t>代次信息</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6FC3781">
            <w:pPr>
              <w:rPr>
                <w:rFonts w:ascii="Times New Roman" w:hAnsi="Times New Roman" w:eastAsia="宋体"/>
              </w:rPr>
            </w:pPr>
          </w:p>
        </w:tc>
      </w:tr>
      <w:tr w14:paraId="6AF2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C6BC10F">
            <w:pPr>
              <w:widowControl/>
              <w:adjustRightInd/>
              <w:spacing w:line="240" w:lineRule="auto"/>
              <w:jc w:val="left"/>
              <w:rPr>
                <w:rFonts w:ascii="Times New Roman" w:hAnsi="Times New Roman" w:eastAsia="宋体"/>
              </w:rPr>
            </w:pPr>
          </w:p>
        </w:tc>
        <w:tc>
          <w:tcPr>
            <w:tcW w:w="1134" w:type="dxa"/>
            <w:vMerge w:val="restart"/>
            <w:tcBorders>
              <w:top w:val="nil"/>
              <w:left w:val="single" w:color="auto" w:sz="4" w:space="0"/>
              <w:bottom w:val="single" w:color="auto" w:sz="4" w:space="0"/>
              <w:right w:val="single" w:color="auto" w:sz="4" w:space="0"/>
            </w:tcBorders>
            <w:vAlign w:val="center"/>
          </w:tcPr>
          <w:p w14:paraId="27715AB9">
            <w:pPr>
              <w:rPr>
                <w:rFonts w:ascii="Times New Roman" w:hAnsi="Times New Roman" w:eastAsia="宋体"/>
              </w:rPr>
            </w:pPr>
            <w:r>
              <w:rPr>
                <w:rFonts w:ascii="宋体" w:hAnsi="宋体" w:eastAsia="Times New Roman"/>
              </w:rPr>
              <w:t>保</w:t>
            </w:r>
            <w:r>
              <w:rPr>
                <w:rFonts w:hint="eastAsia" w:ascii="宋体" w:hAnsi="宋体" w:eastAsia="Times New Roman"/>
              </w:rPr>
              <w:t>藏信息</w:t>
            </w:r>
          </w:p>
        </w:tc>
        <w:tc>
          <w:tcPr>
            <w:tcW w:w="1984" w:type="dxa"/>
            <w:tcBorders>
              <w:top w:val="single" w:color="auto" w:sz="4" w:space="0"/>
              <w:left w:val="single" w:color="auto" w:sz="4" w:space="0"/>
              <w:bottom w:val="single" w:color="auto" w:sz="4" w:space="0"/>
              <w:right w:val="single" w:color="auto" w:sz="4" w:space="0"/>
            </w:tcBorders>
            <w:vAlign w:val="center"/>
          </w:tcPr>
          <w:p w14:paraId="0F4748EE">
            <w:pPr>
              <w:rPr>
                <w:rFonts w:ascii="Times New Roman" w:hAnsi="Times New Roman" w:eastAsia="宋体"/>
              </w:rPr>
            </w:pPr>
            <w:r>
              <w:rPr>
                <w:rFonts w:hint="eastAsia" w:ascii="宋体" w:hAnsi="宋体" w:eastAsia="Times New Roman"/>
              </w:rPr>
              <w:t>保藏时间</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5B5843CA">
            <w:pPr>
              <w:rPr>
                <w:rFonts w:ascii="Times New Roman" w:hAnsi="Times New Roman" w:eastAsia="宋体"/>
              </w:rPr>
            </w:pPr>
          </w:p>
        </w:tc>
      </w:tr>
      <w:tr w14:paraId="140B7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0642E092">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2B15D94A">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587FBEFE">
            <w:pPr>
              <w:rPr>
                <w:rFonts w:ascii="Times New Roman" w:hAnsi="Times New Roman" w:eastAsia="宋体"/>
              </w:rPr>
            </w:pPr>
            <w:r>
              <w:rPr>
                <w:rFonts w:hint="eastAsia" w:ascii="宋体" w:hAnsi="宋体" w:eastAsia="Times New Roman"/>
              </w:rPr>
              <w:t>保藏形式</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763CB17">
            <w:pPr>
              <w:rPr>
                <w:rFonts w:ascii="Times New Roman" w:hAnsi="Times New Roman" w:eastAsia="宋体"/>
              </w:rPr>
            </w:pPr>
            <w:r>
              <w:rPr>
                <w:rFonts w:ascii="宋体" w:hAnsi="宋体" w:eastAsia="Times New Roman"/>
              </w:rPr>
              <w:t>o</w:t>
            </w:r>
            <w:r>
              <w:rPr>
                <w:rFonts w:hint="eastAsia" w:ascii="宋体" w:hAnsi="宋体" w:eastAsia="Times New Roman"/>
              </w:rPr>
              <w:t>冻干</w:t>
            </w:r>
            <w:r>
              <w:rPr>
                <w:rFonts w:ascii="Wingdings" w:hAnsi="Wingdings" w:eastAsia="Times New Roman"/>
              </w:rPr>
              <w:t></w:t>
            </w:r>
            <w:r>
              <w:rPr>
                <w:rFonts w:ascii="宋体" w:hAnsi="宋体" w:eastAsia="Times New Roman"/>
              </w:rPr>
              <w:t>液体</w:t>
            </w:r>
            <w:r>
              <w:rPr>
                <w:rFonts w:ascii="Wingdings" w:hAnsi="Wingdings" w:eastAsia="Times New Roman"/>
              </w:rPr>
              <w:t></w:t>
            </w:r>
            <w:r>
              <w:rPr>
                <w:rFonts w:ascii="宋体" w:hAnsi="宋体" w:eastAsia="Times New Roman"/>
              </w:rPr>
              <w:t>斜面</w:t>
            </w:r>
            <w:r>
              <w:rPr>
                <w:rFonts w:ascii="Wingdings" w:hAnsi="Wingdings" w:eastAsia="Times New Roman"/>
              </w:rPr>
              <w:t></w:t>
            </w:r>
            <w:r>
              <w:rPr>
                <w:rFonts w:ascii="宋体" w:hAnsi="宋体" w:eastAsia="Times New Roman"/>
              </w:rPr>
              <w:t>其他</w:t>
            </w:r>
          </w:p>
        </w:tc>
      </w:tr>
      <w:tr w14:paraId="0656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F2104DE">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3BBA9CD5">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4055E859">
            <w:pPr>
              <w:rPr>
                <w:rFonts w:ascii="Times New Roman" w:hAnsi="Times New Roman" w:eastAsia="宋体"/>
              </w:rPr>
            </w:pPr>
            <w:r>
              <w:rPr>
                <w:rFonts w:hint="eastAsia" w:ascii="宋体" w:hAnsi="宋体" w:eastAsia="Times New Roman"/>
              </w:rPr>
              <w:t>保藏温度</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18A928E5">
            <w:pPr>
              <w:rPr>
                <w:rFonts w:ascii="Times New Roman" w:hAnsi="Times New Roman" w:eastAsia="宋体"/>
              </w:rPr>
            </w:pPr>
          </w:p>
        </w:tc>
      </w:tr>
      <w:tr w14:paraId="1872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AE015BF">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65E363F6">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5F30BB1E">
            <w:pPr>
              <w:rPr>
                <w:rFonts w:ascii="Times New Roman" w:hAnsi="Times New Roman" w:eastAsia="宋体"/>
              </w:rPr>
            </w:pPr>
            <w:r>
              <w:rPr>
                <w:rFonts w:hint="eastAsia" w:ascii="宋体" w:hAnsi="宋体" w:eastAsia="Times New Roman"/>
              </w:rPr>
              <w:t>原虫密度</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0461BF3">
            <w:pPr>
              <w:rPr>
                <w:rFonts w:ascii="Times New Roman" w:hAnsi="Times New Roman" w:eastAsia="宋体"/>
              </w:rPr>
            </w:pPr>
          </w:p>
        </w:tc>
      </w:tr>
      <w:tr w14:paraId="5F2A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9460D25">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45FE424D">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05F564E6">
            <w:pPr>
              <w:rPr>
                <w:rFonts w:ascii="Times New Roman" w:hAnsi="Times New Roman" w:eastAsia="宋体"/>
              </w:rPr>
            </w:pPr>
            <w:r>
              <w:rPr>
                <w:rFonts w:ascii="宋体" w:hAnsi="宋体" w:eastAsia="Times New Roman"/>
              </w:rPr>
              <w:t>数量和体积</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1F455019">
            <w:pPr>
              <w:rPr>
                <w:rFonts w:ascii="Times New Roman" w:hAnsi="Times New Roman" w:eastAsia="宋体"/>
              </w:rPr>
            </w:pPr>
          </w:p>
        </w:tc>
      </w:tr>
      <w:tr w14:paraId="49F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7042E96">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4DDCBDB1">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7BC75FEE">
            <w:pPr>
              <w:rPr>
                <w:rFonts w:ascii="Times New Roman" w:hAnsi="Times New Roman" w:eastAsia="宋体"/>
              </w:rPr>
            </w:pPr>
            <w:r>
              <w:rPr>
                <w:rFonts w:hint="eastAsia" w:ascii="宋体" w:hAnsi="宋体" w:eastAsia="Times New Roman"/>
              </w:rPr>
              <w:t>冻存保护剂成分</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4934322C">
            <w:pPr>
              <w:rPr>
                <w:rFonts w:ascii="Times New Roman" w:hAnsi="Times New Roman" w:eastAsia="宋体"/>
              </w:rPr>
            </w:pPr>
          </w:p>
        </w:tc>
      </w:tr>
      <w:tr w14:paraId="21F7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1" w:type="dxa"/>
            <w:vMerge w:val="restart"/>
            <w:tcBorders>
              <w:top w:val="nil"/>
              <w:left w:val="single" w:color="auto" w:sz="4" w:space="0"/>
              <w:bottom w:val="single" w:color="auto" w:sz="4" w:space="0"/>
              <w:right w:val="single" w:color="auto" w:sz="4" w:space="0"/>
            </w:tcBorders>
            <w:vAlign w:val="center"/>
          </w:tcPr>
          <w:p w14:paraId="5CC863A3">
            <w:pPr>
              <w:rPr>
                <w:rFonts w:ascii="Times New Roman" w:hAnsi="Times New Roman" w:eastAsia="Times New Roman"/>
              </w:rPr>
            </w:pPr>
            <w:r>
              <w:rPr>
                <w:rFonts w:hint="eastAsia" w:ascii="宋体" w:hAnsi="宋体" w:eastAsia="Times New Roman"/>
              </w:rPr>
              <w:t>生物学</w:t>
            </w:r>
          </w:p>
          <w:p w14:paraId="4B8BE64E">
            <w:pPr>
              <w:rPr>
                <w:rFonts w:ascii="Times New Roman" w:hAnsi="Times New Roman" w:eastAsia="宋体"/>
              </w:rPr>
            </w:pPr>
            <w:r>
              <w:rPr>
                <w:rFonts w:hint="eastAsia" w:ascii="宋体" w:hAnsi="宋体" w:eastAsia="Times New Roman"/>
              </w:rPr>
              <w:t>特征</w:t>
            </w:r>
          </w:p>
        </w:tc>
        <w:tc>
          <w:tcPr>
            <w:tcW w:w="1134" w:type="dxa"/>
            <w:vMerge w:val="restart"/>
            <w:tcBorders>
              <w:top w:val="nil"/>
              <w:left w:val="single" w:color="auto" w:sz="4" w:space="0"/>
              <w:bottom w:val="single" w:color="auto" w:sz="4" w:space="0"/>
              <w:right w:val="single" w:color="auto" w:sz="4" w:space="0"/>
            </w:tcBorders>
            <w:vAlign w:val="center"/>
          </w:tcPr>
          <w:p w14:paraId="63D6C231">
            <w:pPr>
              <w:jc w:val="center"/>
              <w:rPr>
                <w:rFonts w:ascii="Times New Roman" w:hAnsi="Times New Roman" w:eastAsia="宋体"/>
              </w:rPr>
            </w:pPr>
            <w:r>
              <w:rPr>
                <w:rFonts w:hint="eastAsia" w:ascii="宋体" w:hAnsi="宋体" w:eastAsia="Times New Roman"/>
              </w:rPr>
              <w:t>培养特性</w:t>
            </w:r>
          </w:p>
        </w:tc>
        <w:tc>
          <w:tcPr>
            <w:tcW w:w="1984" w:type="dxa"/>
            <w:tcBorders>
              <w:top w:val="single" w:color="auto" w:sz="4" w:space="0"/>
              <w:left w:val="single" w:color="auto" w:sz="4" w:space="0"/>
              <w:bottom w:val="single" w:color="auto" w:sz="4" w:space="0"/>
              <w:right w:val="single" w:color="auto" w:sz="4" w:space="0"/>
            </w:tcBorders>
            <w:vAlign w:val="center"/>
          </w:tcPr>
          <w:p w14:paraId="3C1C148A">
            <w:pPr>
              <w:rPr>
                <w:rFonts w:ascii="Times New Roman" w:hAnsi="Times New Roman" w:eastAsia="宋体"/>
              </w:rPr>
            </w:pPr>
            <w:r>
              <w:rPr>
                <w:rFonts w:hint="eastAsia" w:ascii="宋体" w:hAnsi="宋体" w:eastAsia="Times New Roman"/>
              </w:rPr>
              <w:t>培养基名称</w:t>
            </w:r>
          </w:p>
        </w:tc>
        <w:tc>
          <w:tcPr>
            <w:tcW w:w="4281" w:type="dxa"/>
            <w:gridSpan w:val="2"/>
            <w:tcBorders>
              <w:top w:val="single" w:color="auto" w:sz="4" w:space="0"/>
              <w:left w:val="nil"/>
              <w:bottom w:val="single" w:color="auto" w:sz="4" w:space="0"/>
              <w:right w:val="single" w:color="auto" w:sz="4" w:space="0"/>
            </w:tcBorders>
            <w:vAlign w:val="center"/>
          </w:tcPr>
          <w:p w14:paraId="04ED8F7A">
            <w:pPr>
              <w:rPr>
                <w:rFonts w:ascii="Times New Roman" w:hAnsi="Times New Roman" w:eastAsia="宋体"/>
              </w:rPr>
            </w:pPr>
          </w:p>
        </w:tc>
      </w:tr>
      <w:tr w14:paraId="34A0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15B1D19E">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34E7468C">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1173A742">
            <w:pPr>
              <w:rPr>
                <w:rFonts w:ascii="Times New Roman" w:hAnsi="Times New Roman" w:eastAsia="宋体"/>
              </w:rPr>
            </w:pPr>
            <w:r>
              <w:rPr>
                <w:rFonts w:hint="eastAsia" w:ascii="宋体" w:hAnsi="宋体" w:eastAsia="Times New Roman"/>
              </w:rPr>
              <w:t>培养温度</w:t>
            </w:r>
          </w:p>
        </w:tc>
        <w:tc>
          <w:tcPr>
            <w:tcW w:w="4281" w:type="dxa"/>
            <w:gridSpan w:val="2"/>
            <w:tcBorders>
              <w:top w:val="single" w:color="auto" w:sz="4" w:space="0"/>
              <w:left w:val="nil"/>
              <w:bottom w:val="single" w:color="auto" w:sz="4" w:space="0"/>
              <w:right w:val="single" w:color="auto" w:sz="4" w:space="0"/>
            </w:tcBorders>
            <w:vAlign w:val="center"/>
          </w:tcPr>
          <w:p w14:paraId="2B253F75">
            <w:pPr>
              <w:rPr>
                <w:rFonts w:ascii="宋体" w:hAnsi="等线" w:eastAsia="宋体"/>
                <w:color w:val="000000"/>
                <w:kern w:val="0"/>
              </w:rPr>
            </w:pPr>
          </w:p>
        </w:tc>
      </w:tr>
      <w:tr w14:paraId="17362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Borders>
              <w:top w:val="nil"/>
              <w:left w:val="single" w:color="auto" w:sz="4" w:space="0"/>
              <w:bottom w:val="single" w:color="auto" w:sz="4" w:space="0"/>
              <w:right w:val="single" w:color="auto" w:sz="4" w:space="0"/>
            </w:tcBorders>
            <w:vAlign w:val="center"/>
          </w:tcPr>
          <w:p w14:paraId="446BBCEB">
            <w:pPr>
              <w:widowControl/>
              <w:adjustRightInd/>
              <w:spacing w:line="240" w:lineRule="auto"/>
              <w:jc w:val="left"/>
              <w:rPr>
                <w:rFonts w:ascii="Times New Roman" w:hAnsi="Times New Roman" w:eastAsia="宋体"/>
              </w:rPr>
            </w:pPr>
          </w:p>
        </w:tc>
        <w:tc>
          <w:tcPr>
            <w:tcW w:w="0" w:type="auto"/>
            <w:vMerge w:val="continue"/>
            <w:tcBorders>
              <w:top w:val="nil"/>
              <w:left w:val="single" w:color="auto" w:sz="4" w:space="0"/>
              <w:bottom w:val="single" w:color="auto" w:sz="4" w:space="0"/>
              <w:right w:val="single" w:color="auto" w:sz="4" w:space="0"/>
            </w:tcBorders>
            <w:vAlign w:val="center"/>
          </w:tcPr>
          <w:p w14:paraId="589C7E4D">
            <w:pPr>
              <w:widowControl/>
              <w:adjustRightInd/>
              <w:spacing w:line="240" w:lineRule="auto"/>
              <w:jc w:val="left"/>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vAlign w:val="center"/>
          </w:tcPr>
          <w:p w14:paraId="445BB403">
            <w:pPr>
              <w:rPr>
                <w:rFonts w:ascii="Times New Roman" w:hAnsi="Times New Roman" w:eastAsia="宋体"/>
              </w:rPr>
            </w:pPr>
            <w:r>
              <w:rPr>
                <w:rFonts w:hint="eastAsia" w:ascii="宋体" w:hAnsi="宋体" w:eastAsia="Times New Roman"/>
              </w:rPr>
              <w:t>传代周期</w:t>
            </w:r>
          </w:p>
        </w:tc>
        <w:tc>
          <w:tcPr>
            <w:tcW w:w="4281" w:type="dxa"/>
            <w:gridSpan w:val="2"/>
            <w:tcBorders>
              <w:top w:val="single" w:color="auto" w:sz="4" w:space="0"/>
              <w:left w:val="nil"/>
              <w:bottom w:val="single" w:color="auto" w:sz="4" w:space="0"/>
              <w:right w:val="single" w:color="auto" w:sz="4" w:space="0"/>
            </w:tcBorders>
            <w:vAlign w:val="center"/>
          </w:tcPr>
          <w:p w14:paraId="733D6B62">
            <w:pPr>
              <w:rPr>
                <w:rFonts w:ascii="宋体" w:hAnsi="等线" w:eastAsia="宋体"/>
                <w:color w:val="000000"/>
                <w:kern w:val="0"/>
              </w:rPr>
            </w:pPr>
          </w:p>
        </w:tc>
      </w:tr>
      <w:tr w14:paraId="7CA9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8526615">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68B8A93B">
            <w:pPr>
              <w:rPr>
                <w:rFonts w:ascii="Times New Roman" w:hAnsi="Times New Roman" w:eastAsia="宋体"/>
              </w:rPr>
            </w:pPr>
            <w:r>
              <w:rPr>
                <w:rFonts w:hint="eastAsia" w:ascii="宋体" w:hAnsi="宋体" w:eastAsia="Times New Roman"/>
              </w:rPr>
              <w:t>形态特征</w:t>
            </w:r>
          </w:p>
        </w:tc>
        <w:tc>
          <w:tcPr>
            <w:tcW w:w="1984" w:type="dxa"/>
            <w:tcBorders>
              <w:top w:val="single" w:color="auto" w:sz="4" w:space="0"/>
              <w:left w:val="single" w:color="auto" w:sz="4" w:space="0"/>
              <w:bottom w:val="single" w:color="auto" w:sz="4" w:space="0"/>
              <w:right w:val="single" w:color="auto" w:sz="4" w:space="0"/>
            </w:tcBorders>
          </w:tcPr>
          <w:p w14:paraId="3FFD151B">
            <w:pPr>
              <w:rPr>
                <w:rFonts w:ascii="Times New Roman" w:hAnsi="Times New Roman" w:eastAsia="宋体"/>
              </w:rPr>
            </w:pPr>
            <w:r>
              <w:rPr>
                <w:rFonts w:hint="eastAsia" w:ascii="宋体" w:hAnsi="宋体" w:eastAsia="Times New Roman"/>
              </w:rPr>
              <w:t>前鞭毛体形态描述</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5E436FC">
            <w:pPr>
              <w:rPr>
                <w:rFonts w:ascii="Times New Roman" w:hAnsi="Times New Roman" w:eastAsia="宋体"/>
              </w:rPr>
            </w:pPr>
          </w:p>
        </w:tc>
      </w:tr>
      <w:tr w14:paraId="7AE33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E44DAF3">
            <w:pPr>
              <w:widowControl/>
              <w:adjustRightInd/>
              <w:spacing w:line="240" w:lineRule="auto"/>
              <w:jc w:val="left"/>
              <w:rPr>
                <w:rFonts w:ascii="Times New Roman" w:hAnsi="Times New Roman" w:eastAsia="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0C15D256">
            <w:pPr>
              <w:rPr>
                <w:rFonts w:ascii="Times New Roman" w:hAnsi="Times New Roman" w:eastAsia="宋体"/>
              </w:rPr>
            </w:pPr>
          </w:p>
        </w:tc>
        <w:tc>
          <w:tcPr>
            <w:tcW w:w="1984" w:type="dxa"/>
            <w:tcBorders>
              <w:top w:val="single" w:color="auto" w:sz="4" w:space="0"/>
              <w:left w:val="single" w:color="auto" w:sz="4" w:space="0"/>
              <w:bottom w:val="single" w:color="auto" w:sz="4" w:space="0"/>
              <w:right w:val="single" w:color="auto" w:sz="4" w:space="0"/>
            </w:tcBorders>
          </w:tcPr>
          <w:p w14:paraId="6D454F5F">
            <w:pPr>
              <w:rPr>
                <w:rFonts w:ascii="Times New Roman" w:hAnsi="Times New Roman" w:eastAsia="宋体"/>
              </w:rPr>
            </w:pPr>
            <w:r>
              <w:rPr>
                <w:rFonts w:hint="eastAsia" w:ascii="宋体" w:hAnsi="宋体" w:eastAsia="Times New Roman"/>
              </w:rPr>
              <w:t>前鞭毛体形态图片</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40B2177D">
            <w:pPr>
              <w:rPr>
                <w:rFonts w:ascii="Times New Roman" w:hAnsi="Times New Roman" w:eastAsia="宋体"/>
              </w:rPr>
            </w:pPr>
          </w:p>
        </w:tc>
      </w:tr>
      <w:tr w14:paraId="5A956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491E254">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59BE9C9F">
            <w:pPr>
              <w:rPr>
                <w:rFonts w:ascii="Times New Roman" w:hAnsi="Times New Roman" w:eastAsia="宋体"/>
              </w:rPr>
            </w:pPr>
            <w:r>
              <w:rPr>
                <w:rFonts w:hint="eastAsia" w:ascii="宋体" w:hAnsi="宋体" w:eastAsia="Times New Roman"/>
              </w:rPr>
              <w:t>感染性</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007A1B0">
            <w:pPr>
              <w:rPr>
                <w:rFonts w:ascii="Times New Roman" w:hAnsi="Times New Roman" w:eastAsia="宋体"/>
              </w:rPr>
            </w:pPr>
          </w:p>
        </w:tc>
      </w:tr>
      <w:tr w14:paraId="6D1D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101" w:type="dxa"/>
            <w:vMerge w:val="restart"/>
            <w:tcBorders>
              <w:top w:val="nil"/>
              <w:left w:val="single" w:color="auto" w:sz="4" w:space="0"/>
              <w:bottom w:val="single" w:color="auto" w:sz="4" w:space="0"/>
              <w:right w:val="single" w:color="auto" w:sz="4" w:space="0"/>
            </w:tcBorders>
            <w:vAlign w:val="center"/>
          </w:tcPr>
          <w:p w14:paraId="22F992C4">
            <w:pPr>
              <w:rPr>
                <w:rFonts w:ascii="Times New Roman" w:hAnsi="Times New Roman" w:eastAsia="宋体"/>
              </w:rPr>
            </w:pPr>
            <w:r>
              <w:rPr>
                <w:rFonts w:hint="eastAsia" w:ascii="宋体" w:hAnsi="宋体" w:eastAsia="Times New Roman"/>
              </w:rPr>
              <w:t>分子特征</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177C0B55">
            <w:pPr>
              <w:jc w:val="left"/>
              <w:rPr>
                <w:rFonts w:ascii="Times New Roman" w:hAnsi="Times New Roman" w:eastAsia="宋体"/>
              </w:rPr>
            </w:pPr>
            <w:r>
              <w:rPr>
                <w:rFonts w:hint="eastAsia" w:ascii="宋体" w:hAnsi="宋体" w:eastAsia="Times New Roman"/>
              </w:rPr>
              <w:t>虫种及用于虫种分型的</w:t>
            </w:r>
            <w:r>
              <w:rPr>
                <w:rFonts w:ascii="Times New Roman" w:hAnsi="Times New Roman" w:eastAsia="Times New Roman"/>
              </w:rPr>
              <w:t>K26</w:t>
            </w:r>
            <w:r>
              <w:rPr>
                <w:rFonts w:hint="eastAsia" w:ascii="宋体" w:hAnsi="宋体" w:eastAsia="Times New Roman"/>
              </w:rPr>
              <w:t>靶基因序列</w:t>
            </w:r>
            <w:r>
              <w:rPr>
                <w:rFonts w:ascii="Times New Roman" w:hAnsi="Times New Roman" w:eastAsia="Times New Roman"/>
                <w:vertAlign w:val="superscript"/>
              </w:rPr>
              <w:t>d</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102B8847">
            <w:pPr>
              <w:rPr>
                <w:rFonts w:ascii="Times New Roman" w:hAnsi="Times New Roman" w:eastAsia="宋体"/>
              </w:rPr>
            </w:pPr>
          </w:p>
        </w:tc>
      </w:tr>
      <w:tr w14:paraId="525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233DA96">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4B684758">
            <w:pPr>
              <w:rPr>
                <w:rFonts w:ascii="Times New Roman" w:hAnsi="Times New Roman" w:eastAsia="宋体"/>
              </w:rPr>
            </w:pPr>
            <w:r>
              <w:rPr>
                <w:rFonts w:hint="eastAsia" w:ascii="宋体" w:hAnsi="宋体" w:eastAsia="Times New Roman"/>
              </w:rPr>
              <w:t>基因组大小及</w:t>
            </w:r>
            <w:r>
              <w:rPr>
                <w:rFonts w:ascii="宋体" w:hAnsi="宋体" w:eastAsia="Times New Roman"/>
              </w:rPr>
              <w:t>基因组数据库</w:t>
            </w:r>
            <w:r>
              <w:rPr>
                <w:rFonts w:hint="eastAsia" w:ascii="宋体" w:hAnsi="宋体" w:eastAsia="Times New Roman"/>
              </w:rPr>
              <w:t>序列</w:t>
            </w:r>
            <w:r>
              <w:rPr>
                <w:rFonts w:ascii="宋体" w:hAnsi="宋体" w:eastAsia="Times New Roman"/>
              </w:rPr>
              <w:t>号</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42891822">
            <w:pPr>
              <w:rPr>
                <w:rFonts w:ascii="Times New Roman" w:hAnsi="Times New Roman" w:eastAsia="宋体"/>
              </w:rPr>
            </w:pPr>
          </w:p>
        </w:tc>
      </w:tr>
      <w:tr w14:paraId="5641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nil"/>
              <w:left w:val="single" w:color="auto" w:sz="4" w:space="0"/>
              <w:bottom w:val="single" w:color="auto" w:sz="4" w:space="0"/>
              <w:right w:val="single" w:color="auto" w:sz="4" w:space="0"/>
            </w:tcBorders>
            <w:vAlign w:val="center"/>
          </w:tcPr>
          <w:p w14:paraId="06FDBF1A">
            <w:pPr>
              <w:rPr>
                <w:rFonts w:ascii="Times New Roman" w:hAnsi="Times New Roman" w:eastAsia="宋体"/>
              </w:rPr>
            </w:pPr>
            <w:r>
              <w:rPr>
                <w:rFonts w:hint="eastAsia" w:ascii="宋体" w:hAnsi="宋体" w:eastAsia="Times New Roman"/>
              </w:rPr>
              <w:t>活性</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0F2AA9DE">
            <w:pPr>
              <w:rPr>
                <w:rFonts w:ascii="Times New Roman" w:hAnsi="Times New Roman" w:eastAsia="宋体"/>
              </w:rPr>
            </w:pPr>
            <w:r>
              <w:rPr>
                <w:rFonts w:hint="eastAsia" w:ascii="宋体" w:hAnsi="宋体" w:eastAsia="Times New Roman"/>
              </w:rPr>
              <w:t>连续传代次数≥</w:t>
            </w:r>
            <w:r>
              <w:rPr>
                <w:rFonts w:ascii="Times New Roman" w:hAnsi="Times New Roman" w:eastAsia="Times New Roman"/>
              </w:rPr>
              <w:t>3</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4BBCB41">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hint="eastAsia" w:ascii="宋体" w:hAnsi="宋体" w:eastAsia="Times New Roman"/>
              </w:rPr>
              <w:t>否（备注：见报告）</w:t>
            </w:r>
          </w:p>
        </w:tc>
      </w:tr>
      <w:tr w14:paraId="726E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244B1D1">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02D80772">
            <w:pPr>
              <w:rPr>
                <w:rFonts w:ascii="Times New Roman" w:hAnsi="Times New Roman" w:eastAsia="宋体"/>
              </w:rPr>
            </w:pPr>
            <w:r>
              <w:rPr>
                <w:rFonts w:hint="eastAsia" w:ascii="宋体" w:hAnsi="宋体" w:eastAsia="Times New Roman"/>
              </w:rPr>
              <w:t>显微镜下利什曼原虫前鞭毛体运动活泼，形态正常。</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18974947">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1465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nil"/>
              <w:left w:val="single" w:color="auto" w:sz="4" w:space="0"/>
              <w:bottom w:val="single" w:color="auto" w:sz="4" w:space="0"/>
              <w:right w:val="single" w:color="auto" w:sz="4" w:space="0"/>
            </w:tcBorders>
            <w:vAlign w:val="center"/>
          </w:tcPr>
          <w:p w14:paraId="77731F8B">
            <w:pPr>
              <w:rPr>
                <w:rFonts w:ascii="Times New Roman" w:hAnsi="Times New Roman" w:eastAsia="Times New Roman"/>
              </w:rPr>
            </w:pPr>
          </w:p>
          <w:p w14:paraId="7196C672">
            <w:pPr>
              <w:rPr>
                <w:rFonts w:ascii="Times New Roman" w:hAnsi="Times New Roman" w:eastAsia="宋体"/>
              </w:rPr>
            </w:pPr>
            <w:r>
              <w:rPr>
                <w:rFonts w:hint="eastAsia" w:ascii="宋体" w:hAnsi="宋体" w:eastAsia="Times New Roman"/>
              </w:rPr>
              <w:t>稳定性</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5DF7641D">
            <w:pPr>
              <w:rPr>
                <w:rFonts w:ascii="Times New Roman" w:hAnsi="Times New Roman" w:eastAsia="宋体"/>
              </w:rPr>
            </w:pPr>
            <w:r>
              <w:rPr>
                <w:rFonts w:hint="eastAsia" w:ascii="宋体" w:hAnsi="宋体" w:eastAsia="Times New Roman"/>
              </w:rPr>
              <w:t>传代明确可溯源</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28F453E5">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0C1D3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4B357708">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1C649CFB">
            <w:pPr>
              <w:rPr>
                <w:rFonts w:ascii="Times New Roman" w:hAnsi="Times New Roman" w:eastAsia="宋体"/>
              </w:rPr>
            </w:pPr>
            <w:r>
              <w:rPr>
                <w:rFonts w:hint="eastAsia" w:ascii="宋体" w:hAnsi="宋体" w:eastAsia="Times New Roman"/>
              </w:rPr>
              <w:t>不同代次虫株培养条件稳定</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717CD89A">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41F6C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2CD01B23">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21933DBE">
            <w:pPr>
              <w:rPr>
                <w:rFonts w:ascii="Times New Roman" w:hAnsi="Times New Roman" w:eastAsia="宋体"/>
              </w:rPr>
            </w:pPr>
            <w:r>
              <w:rPr>
                <w:rFonts w:hint="eastAsia" w:ascii="宋体" w:hAnsi="宋体" w:eastAsia="Times New Roman"/>
              </w:rPr>
              <w:t>不同代次虫株形态学特征稳定</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A518DFC">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37ED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5AFCC26">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6AA5BEC3">
            <w:pPr>
              <w:rPr>
                <w:rFonts w:ascii="Times New Roman" w:hAnsi="Times New Roman" w:eastAsia="宋体"/>
              </w:rPr>
            </w:pPr>
            <w:r>
              <w:rPr>
                <w:rFonts w:hint="eastAsia" w:ascii="宋体" w:hAnsi="宋体" w:eastAsia="Times New Roman"/>
              </w:rPr>
              <w:t>不同代次虫株分子特征稳定</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2054AF55">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6679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6A46902E">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61D4B88D">
            <w:pPr>
              <w:rPr>
                <w:rFonts w:ascii="Times New Roman" w:hAnsi="Times New Roman" w:eastAsia="宋体"/>
              </w:rPr>
            </w:pPr>
            <w:r>
              <w:rPr>
                <w:rFonts w:hint="eastAsia" w:ascii="宋体" w:hAnsi="宋体" w:eastAsia="Times New Roman"/>
              </w:rPr>
              <w:t>冻存和复苏信息稳定</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7E9D30A0">
            <w:pPr>
              <w:rPr>
                <w:rFonts w:ascii="Times New Roman" w:hAnsi="Times New Roman" w:eastAsia="宋体"/>
              </w:rPr>
            </w:pPr>
            <w:r>
              <w:rPr>
                <w:rFonts w:ascii="Wingdings" w:hAnsi="Wingdings" w:eastAsia="Times New Roman"/>
              </w:rPr>
              <w:t></w:t>
            </w:r>
            <w:r>
              <w:rPr>
                <w:rFonts w:ascii="宋体" w:hAnsi="宋体" w:eastAsia="Times New Roman"/>
              </w:rPr>
              <w:t>是</w:t>
            </w:r>
            <w:r>
              <w:rPr>
                <w:rFonts w:ascii="Wingdings" w:hAnsi="Wingdings" w:eastAsia="Times New Roman"/>
              </w:rPr>
              <w:t></w:t>
            </w:r>
            <w:r>
              <w:rPr>
                <w:rFonts w:ascii="宋体" w:hAnsi="宋体" w:eastAsia="Times New Roman"/>
              </w:rPr>
              <w:t>否</w:t>
            </w:r>
            <w:r>
              <w:rPr>
                <w:rFonts w:hint="eastAsia" w:ascii="宋体" w:hAnsi="宋体" w:eastAsia="Times New Roman"/>
              </w:rPr>
              <w:t>（备注：见报告）</w:t>
            </w:r>
          </w:p>
        </w:tc>
      </w:tr>
      <w:tr w14:paraId="2A367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9" w:type="dxa"/>
            <w:gridSpan w:val="3"/>
            <w:tcBorders>
              <w:top w:val="single" w:color="auto" w:sz="4" w:space="0"/>
              <w:left w:val="single" w:color="auto" w:sz="4" w:space="0"/>
              <w:bottom w:val="single" w:color="auto" w:sz="4" w:space="0"/>
              <w:right w:val="single" w:color="auto" w:sz="4" w:space="0"/>
            </w:tcBorders>
            <w:vAlign w:val="center"/>
          </w:tcPr>
          <w:p w14:paraId="72B1CC89">
            <w:pPr>
              <w:jc w:val="center"/>
              <w:rPr>
                <w:rFonts w:ascii="Times New Roman" w:hAnsi="Times New Roman" w:eastAsia="宋体"/>
              </w:rPr>
            </w:pPr>
            <w:r>
              <w:rPr>
                <w:rFonts w:hint="eastAsia" w:ascii="宋体" w:hAnsi="宋体" w:eastAsia="Times New Roman"/>
              </w:rPr>
              <w:t>相关文献</w:t>
            </w:r>
            <w:r>
              <w:rPr>
                <w:rFonts w:hint="eastAsia" w:ascii="Times New Roman" w:hAnsi="Times New Roman" w:eastAsia="Times New Roman"/>
              </w:rPr>
              <w:t>/S</w:t>
            </w:r>
            <w:r>
              <w:rPr>
                <w:rFonts w:ascii="Times New Roman" w:hAnsi="Times New Roman" w:eastAsia="Times New Roman"/>
              </w:rPr>
              <w:t>OP</w:t>
            </w:r>
            <w:r>
              <w:rPr>
                <w:rFonts w:hint="eastAsia" w:ascii="宋体" w:hAnsi="宋体" w:eastAsia="Times New Roman"/>
              </w:rPr>
              <w:t>或报告</w:t>
            </w:r>
            <w:r>
              <w:rPr>
                <w:rFonts w:hint="eastAsia" w:ascii="Times New Roman" w:hAnsi="Times New Roman" w:eastAsia="Times New Roman"/>
                <w:vertAlign w:val="superscript"/>
              </w:rPr>
              <w:t>e</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0448A7B1">
            <w:pPr>
              <w:rPr>
                <w:rFonts w:ascii="Times New Roman" w:hAnsi="Times New Roman" w:eastAsia="宋体"/>
              </w:rPr>
            </w:pPr>
          </w:p>
        </w:tc>
      </w:tr>
      <w:tr w14:paraId="2F65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tcBorders>
              <w:top w:val="nil"/>
              <w:left w:val="single" w:color="auto" w:sz="4" w:space="0"/>
              <w:bottom w:val="single" w:color="auto" w:sz="4" w:space="0"/>
              <w:right w:val="single" w:color="auto" w:sz="4" w:space="0"/>
            </w:tcBorders>
            <w:vAlign w:val="center"/>
          </w:tcPr>
          <w:p w14:paraId="43B47351">
            <w:pPr>
              <w:rPr>
                <w:rFonts w:ascii="Times New Roman" w:hAnsi="Times New Roman" w:eastAsia="宋体"/>
              </w:rPr>
            </w:pPr>
            <w:r>
              <w:rPr>
                <w:rFonts w:ascii="宋体" w:hAnsi="宋体" w:eastAsia="Times New Roman"/>
              </w:rPr>
              <w:t>保</w:t>
            </w:r>
            <w:r>
              <w:rPr>
                <w:rFonts w:hint="eastAsia" w:ascii="宋体" w:hAnsi="宋体" w:eastAsia="Times New Roman"/>
              </w:rPr>
              <w:t>藏机构</w:t>
            </w:r>
            <w:r>
              <w:rPr>
                <w:rFonts w:ascii="宋体" w:hAnsi="宋体" w:eastAsia="Times New Roman"/>
              </w:rPr>
              <w:t>联系信息</w:t>
            </w: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40E90A26">
            <w:pPr>
              <w:rPr>
                <w:rFonts w:ascii="Times New Roman" w:hAnsi="Times New Roman" w:eastAsia="宋体"/>
              </w:rPr>
            </w:pPr>
            <w:r>
              <w:rPr>
                <w:rFonts w:hint="eastAsia" w:ascii="宋体" w:hAnsi="宋体" w:eastAsia="Times New Roman"/>
              </w:rPr>
              <w:t>机构全称</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484FD488">
            <w:pPr>
              <w:rPr>
                <w:rFonts w:ascii="Times New Roman" w:hAnsi="Times New Roman" w:eastAsia="宋体"/>
              </w:rPr>
            </w:pPr>
          </w:p>
        </w:tc>
      </w:tr>
      <w:tr w14:paraId="58FC7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5C17EC4E">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271A977F">
            <w:pPr>
              <w:rPr>
                <w:rFonts w:ascii="Times New Roman" w:hAnsi="Times New Roman" w:eastAsia="宋体"/>
              </w:rPr>
            </w:pPr>
            <w:r>
              <w:rPr>
                <w:rFonts w:ascii="宋体" w:hAnsi="宋体" w:eastAsia="Times New Roman"/>
              </w:rPr>
              <w:t>联系人</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7A28536A">
            <w:pPr>
              <w:rPr>
                <w:rFonts w:ascii="Times New Roman" w:hAnsi="Times New Roman" w:eastAsia="宋体"/>
              </w:rPr>
            </w:pPr>
          </w:p>
        </w:tc>
      </w:tr>
      <w:tr w14:paraId="452A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716B82EE">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2BBC7729">
            <w:pPr>
              <w:rPr>
                <w:rFonts w:ascii="Times New Roman" w:hAnsi="Times New Roman" w:eastAsia="宋体"/>
              </w:rPr>
            </w:pPr>
            <w:r>
              <w:rPr>
                <w:rFonts w:ascii="宋体" w:hAnsi="宋体" w:eastAsia="Times New Roman"/>
              </w:rPr>
              <w:t>联系电话</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35A18AE6">
            <w:pPr>
              <w:rPr>
                <w:rFonts w:ascii="Times New Roman" w:hAnsi="Times New Roman" w:eastAsia="宋体"/>
              </w:rPr>
            </w:pPr>
          </w:p>
        </w:tc>
      </w:tr>
      <w:tr w14:paraId="394D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nil"/>
              <w:left w:val="single" w:color="auto" w:sz="4" w:space="0"/>
              <w:bottom w:val="single" w:color="auto" w:sz="4" w:space="0"/>
              <w:right w:val="single" w:color="auto" w:sz="4" w:space="0"/>
            </w:tcBorders>
            <w:vAlign w:val="center"/>
          </w:tcPr>
          <w:p w14:paraId="3E2D93BB">
            <w:pPr>
              <w:widowControl/>
              <w:adjustRightInd/>
              <w:spacing w:line="240" w:lineRule="auto"/>
              <w:jc w:val="left"/>
              <w:rPr>
                <w:rFonts w:ascii="Times New Roman" w:hAnsi="Times New Roman" w:eastAsia="宋体"/>
              </w:rPr>
            </w:pPr>
          </w:p>
        </w:tc>
        <w:tc>
          <w:tcPr>
            <w:tcW w:w="3118" w:type="dxa"/>
            <w:gridSpan w:val="2"/>
            <w:tcBorders>
              <w:top w:val="single" w:color="auto" w:sz="4" w:space="0"/>
              <w:left w:val="single" w:color="auto" w:sz="4" w:space="0"/>
              <w:bottom w:val="single" w:color="auto" w:sz="4" w:space="0"/>
              <w:right w:val="single" w:color="auto" w:sz="4" w:space="0"/>
            </w:tcBorders>
            <w:vAlign w:val="center"/>
          </w:tcPr>
          <w:p w14:paraId="4A22004A">
            <w:pPr>
              <w:rPr>
                <w:rFonts w:ascii="Times New Roman" w:hAnsi="Times New Roman" w:eastAsia="宋体"/>
              </w:rPr>
            </w:pPr>
            <w:r>
              <w:rPr>
                <w:rFonts w:ascii="宋体" w:hAnsi="宋体" w:eastAsia="Times New Roman"/>
              </w:rPr>
              <w:t>联系人邮箱</w:t>
            </w:r>
          </w:p>
        </w:tc>
        <w:tc>
          <w:tcPr>
            <w:tcW w:w="4281" w:type="dxa"/>
            <w:gridSpan w:val="2"/>
            <w:tcBorders>
              <w:top w:val="single" w:color="auto" w:sz="4" w:space="0"/>
              <w:left w:val="single" w:color="auto" w:sz="4" w:space="0"/>
              <w:bottom w:val="single" w:color="auto" w:sz="4" w:space="0"/>
              <w:right w:val="single" w:color="auto" w:sz="4" w:space="0"/>
            </w:tcBorders>
            <w:vAlign w:val="center"/>
          </w:tcPr>
          <w:p w14:paraId="63285A33">
            <w:pPr>
              <w:rPr>
                <w:rFonts w:ascii="Times New Roman" w:hAnsi="Times New Roman" w:eastAsia="宋体"/>
              </w:rPr>
            </w:pPr>
          </w:p>
        </w:tc>
      </w:tr>
      <w:tr w14:paraId="7193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500" w:type="dxa"/>
            <w:gridSpan w:val="5"/>
            <w:tcBorders>
              <w:top w:val="single" w:color="auto" w:sz="4" w:space="0"/>
              <w:left w:val="single" w:color="auto" w:sz="4" w:space="0"/>
              <w:bottom w:val="single" w:color="auto" w:sz="4" w:space="0"/>
              <w:right w:val="single" w:color="auto" w:sz="4" w:space="0"/>
            </w:tcBorders>
            <w:vAlign w:val="center"/>
          </w:tcPr>
          <w:p w14:paraId="616937DC">
            <w:pPr>
              <w:rPr>
                <w:rFonts w:ascii="Times New Roman" w:hAnsi="Times New Roman" w:eastAsia="Times New Roman"/>
              </w:rPr>
            </w:pPr>
            <w:r>
              <w:rPr>
                <w:rFonts w:ascii="Times New Roman" w:hAnsi="Times New Roman" w:eastAsia="Times New Roman"/>
              </w:rPr>
              <w:t xml:space="preserve">a: </w:t>
            </w:r>
            <w:r>
              <w:rPr>
                <w:rFonts w:hint="eastAsia" w:ascii="宋体" w:hAnsi="宋体" w:eastAsia="Times New Roman"/>
              </w:rPr>
              <w:t>如</w:t>
            </w:r>
            <w:r>
              <w:rPr>
                <w:rFonts w:ascii="宋体" w:hAnsi="宋体" w:eastAsia="Times New Roman"/>
              </w:rPr>
              <w:t>患者，骨髓</w:t>
            </w:r>
          </w:p>
          <w:p w14:paraId="2E4DD903">
            <w:pPr>
              <w:rPr>
                <w:rFonts w:ascii="Times New Roman" w:hAnsi="Times New Roman" w:eastAsia="Times New Roman"/>
              </w:rPr>
            </w:pPr>
            <w:r>
              <w:rPr>
                <w:rFonts w:ascii="Times New Roman" w:hAnsi="Times New Roman" w:eastAsia="Times New Roman"/>
              </w:rPr>
              <w:t xml:space="preserve">b: </w:t>
            </w:r>
            <w:r>
              <w:rPr>
                <w:rFonts w:hint="eastAsia" w:ascii="宋体" w:hAnsi="宋体" w:eastAsia="Times New Roman"/>
              </w:rPr>
              <w:t>如虫株分离自患者，填写此项内容。</w:t>
            </w:r>
          </w:p>
          <w:p w14:paraId="483CF7BC">
            <w:pPr>
              <w:rPr>
                <w:rFonts w:ascii="Times New Roman" w:hAnsi="Times New Roman" w:eastAsia="Times New Roman"/>
              </w:rPr>
            </w:pPr>
            <w:r>
              <w:rPr>
                <w:rFonts w:ascii="Times New Roman" w:hAnsi="Times New Roman" w:eastAsia="Times New Roman"/>
              </w:rPr>
              <w:t>c: ←</w:t>
            </w:r>
            <w:r>
              <w:rPr>
                <w:rFonts w:ascii="宋体" w:hAnsi="宋体" w:eastAsia="Times New Roman"/>
              </w:rPr>
              <w:t>中国疾病预防控制中心病原微生物菌（毒）种保藏中心</w:t>
            </w:r>
            <w:r>
              <w:rPr>
                <w:rFonts w:ascii="Times New Roman" w:hAnsi="Times New Roman" w:eastAsia="Times New Roman"/>
              </w:rPr>
              <w:t>←</w:t>
            </w:r>
            <w:r>
              <w:rPr>
                <w:rFonts w:ascii="宋体" w:hAnsi="宋体" w:eastAsia="Times New Roman"/>
              </w:rPr>
              <w:t xml:space="preserve">中国疾病预防控制中心寄生虫病预防控制所 </w:t>
            </w:r>
          </w:p>
          <w:p w14:paraId="59D83B36">
            <w:pPr>
              <w:rPr>
                <w:rFonts w:ascii="Times New Roman" w:hAnsi="Times New Roman" w:eastAsia="Times New Roman"/>
              </w:rPr>
            </w:pPr>
            <w:r>
              <w:rPr>
                <w:rFonts w:ascii="Times New Roman" w:hAnsi="Times New Roman" w:eastAsia="Times New Roman"/>
              </w:rPr>
              <w:t>d: K26</w:t>
            </w:r>
            <w:r>
              <w:rPr>
                <w:rFonts w:ascii="宋体" w:hAnsi="宋体" w:eastAsia="Times New Roman"/>
              </w:rPr>
              <w:t>序列信息，如序列已提交</w:t>
            </w:r>
            <w:r>
              <w:rPr>
                <w:rFonts w:ascii="Times New Roman" w:hAnsi="Times New Roman" w:eastAsia="Times New Roman"/>
              </w:rPr>
              <w:t>GenBank</w:t>
            </w:r>
            <w:r>
              <w:rPr>
                <w:rFonts w:ascii="宋体" w:hAnsi="宋体" w:eastAsia="Times New Roman"/>
              </w:rPr>
              <w:t>等公共数据库平台，提供序列号。</w:t>
            </w:r>
          </w:p>
          <w:p w14:paraId="0E14D66C">
            <w:pPr>
              <w:rPr>
                <w:rFonts w:ascii="Times New Roman" w:hAnsi="Times New Roman" w:eastAsia="宋体"/>
              </w:rPr>
            </w:pPr>
            <w:r>
              <w:rPr>
                <w:rFonts w:ascii="Times New Roman" w:hAnsi="Times New Roman" w:eastAsia="Times New Roman"/>
              </w:rPr>
              <w:t xml:space="preserve">e: </w:t>
            </w:r>
            <w:r>
              <w:rPr>
                <w:rFonts w:ascii="宋体" w:hAnsi="宋体" w:eastAsia="Times New Roman"/>
              </w:rPr>
              <w:t>与该标准株相关的研究文献提供文献题录，</w:t>
            </w:r>
            <w:r>
              <w:rPr>
                <w:rFonts w:ascii="Times New Roman" w:hAnsi="Times New Roman" w:eastAsia="Times New Roman"/>
              </w:rPr>
              <w:t>SOP</w:t>
            </w:r>
            <w:r>
              <w:rPr>
                <w:rFonts w:ascii="宋体" w:hAnsi="宋体" w:eastAsia="Times New Roman"/>
              </w:rPr>
              <w:t>或报告提供文本。</w:t>
            </w:r>
          </w:p>
        </w:tc>
      </w:tr>
    </w:tbl>
    <w:p w14:paraId="3FBB556F">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57E53745">
      <w:pPr>
        <w:pStyle w:val="198"/>
        <w:rPr>
          <w:rFonts w:ascii="Times New Roman" w:hAnsi="Times New Roman"/>
          <w:vanish w:val="0"/>
        </w:rPr>
      </w:pPr>
    </w:p>
    <w:p w14:paraId="300ED6B8">
      <w:pPr>
        <w:pStyle w:val="199"/>
        <w:rPr>
          <w:rFonts w:ascii="Times New Roman"/>
          <w:vanish w:val="0"/>
        </w:rPr>
      </w:pPr>
    </w:p>
    <w:p w14:paraId="68E817E4">
      <w:pPr>
        <w:pStyle w:val="76"/>
        <w:spacing w:after="120"/>
        <w:rPr>
          <w:rFonts w:ascii="Times New Roman"/>
        </w:rPr>
      </w:pPr>
      <w:r>
        <w:rPr>
          <w:rFonts w:ascii="Times New Roman"/>
        </w:rPr>
        <w:br w:type="textWrapping"/>
      </w:r>
      <w:bookmarkStart w:id="67" w:name="_Toc201759945"/>
      <w:bookmarkStart w:id="68" w:name="_Toc212127194"/>
      <w:r>
        <w:rPr>
          <w:rFonts w:ascii="Times New Roman"/>
        </w:rPr>
        <w:t>（资料性）</w:t>
      </w:r>
      <w:r>
        <w:rPr>
          <w:rFonts w:ascii="Times New Roman"/>
        </w:rPr>
        <w:br w:type="textWrapping"/>
      </w:r>
      <w:bookmarkEnd w:id="67"/>
      <w:r>
        <w:rPr>
          <w:rFonts w:hint="eastAsia" w:ascii="Times New Roman"/>
        </w:rPr>
        <w:t>我国利什曼病流行病学</w:t>
      </w:r>
      <w:bookmarkEnd w:id="68"/>
    </w:p>
    <w:p w14:paraId="79AC98D7">
      <w:pPr>
        <w:pStyle w:val="56"/>
        <w:ind w:firstLine="420"/>
        <w:rPr>
          <w:rFonts w:ascii="Times New Roman"/>
        </w:rPr>
      </w:pPr>
      <w:r>
        <w:rPr>
          <w:rFonts w:hint="eastAsia" w:ascii="Times New Roman"/>
        </w:rPr>
        <w:t>利什曼病是由利什曼原虫感染所致的人兽共患寄生虫病，通过媒介白蛉叮咬传播，也有罕见病例通过输血或共用注射器感染的报道。根据不同种类的利什曼原虫在人类宿主体内的主要寄生部位及其临床表现，可将利什曼病分为三种类型：内脏利什曼病（visceral leishmaniasis）或称黑热病（kala-azar）、皮肤利什曼病（cutaneous leishmaniasis）或黏膜皮肤利什曼病（mucocutaneous leishmaniasis）。</w:t>
      </w:r>
    </w:p>
    <w:p w14:paraId="6E63453F">
      <w:pPr>
        <w:pStyle w:val="56"/>
        <w:ind w:firstLine="420"/>
        <w:rPr>
          <w:rFonts w:ascii="Times New Roman"/>
        </w:rPr>
      </w:pPr>
      <w:r>
        <w:rPr>
          <w:rFonts w:hint="eastAsia" w:ascii="Times New Roman"/>
        </w:rPr>
        <w:t>内脏利什曼病是由趋内脏的杜氏利什曼原虫种团（</w:t>
      </w:r>
      <w:r>
        <w:rPr>
          <w:rFonts w:hint="eastAsia" w:ascii="Times New Roman"/>
          <w:i/>
        </w:rPr>
        <w:t>Leishmania donovani complex</w:t>
      </w:r>
      <w:r>
        <w:rPr>
          <w:rFonts w:hint="eastAsia" w:ascii="Times New Roman"/>
        </w:rPr>
        <w:t>）中的3种利什曼原虫寄生于人和/或其他哺乳动物单核-巨噬细胞系统所致。这3种利什曼原虫分别是杜氏利什曼原虫（</w:t>
      </w:r>
      <w:r>
        <w:rPr>
          <w:rFonts w:hint="eastAsia" w:ascii="Times New Roman"/>
          <w:i/>
        </w:rPr>
        <w:t>Leishmania donovani</w:t>
      </w:r>
      <w:r>
        <w:rPr>
          <w:rFonts w:hint="eastAsia" w:ascii="Times New Roman"/>
        </w:rPr>
        <w:t>）、婴儿利什曼原虫（</w:t>
      </w:r>
      <w:r>
        <w:rPr>
          <w:rFonts w:hint="eastAsia" w:ascii="Times New Roman"/>
          <w:i/>
        </w:rPr>
        <w:t>L. infantum</w:t>
      </w:r>
      <w:r>
        <w:rPr>
          <w:rFonts w:hint="eastAsia" w:ascii="Times New Roman"/>
        </w:rPr>
        <w:t>）和恰氏利什曼原虫（</w:t>
      </w:r>
      <w:r>
        <w:rPr>
          <w:rFonts w:hint="eastAsia" w:ascii="Times New Roman"/>
          <w:i/>
        </w:rPr>
        <w:t>L. chagasi</w:t>
      </w:r>
      <w:r>
        <w:rPr>
          <w:rFonts w:hint="eastAsia" w:ascii="Times New Roman"/>
        </w:rPr>
        <w:t>）。我国的内脏利什曼病的病原体主要包括杜氏利什曼原虫和婴儿利什曼原虫，后者也是我国新疆克拉玛依地区皮肤利什曼病的致病种。</w:t>
      </w:r>
    </w:p>
    <w:p w14:paraId="4F41A79E">
      <w:pPr>
        <w:pStyle w:val="56"/>
        <w:ind w:firstLine="420"/>
        <w:rPr>
          <w:rFonts w:ascii="Times New Roman"/>
        </w:rPr>
      </w:pPr>
      <w:r>
        <w:rPr>
          <w:rFonts w:hint="eastAsia" w:ascii="Times New Roman"/>
        </w:rPr>
        <w:t>内脏利什曼病曾是严重危害我国人民身体健康的五大寄生虫病之一， 曾广泛流行于长江以北的16 个省（自治区、直辖市） 的600 多个县（市、区） 的广大农村地区。经过积极防治，截至20 世纪80 年代初，我国大部分流行区已消除了内脏利什曼病，但在新疆、甘肃、四川、陕西、山西和内蒙古等6省（区）仍存在当地感染。</w:t>
      </w:r>
    </w:p>
    <w:p w14:paraId="4FB9C6B1">
      <w:pPr>
        <w:pStyle w:val="56"/>
        <w:ind w:firstLine="420"/>
        <w:rPr>
          <w:rFonts w:ascii="Times New Roman"/>
        </w:rPr>
      </w:pPr>
      <w:r>
        <w:rPr>
          <w:rFonts w:hint="eastAsia" w:ascii="Times New Roman"/>
        </w:rPr>
        <w:t>21 世纪以来，随着自然生态和社会环境的改善，内脏利什曼病疫情出现回升趋势，流行范围有所扩大，全国内脏利什曼病流行格局也随之变化。2004—2016 年，全国95.6%报告病例集中在新疆、四川和甘肃省的部分县区。2017 年后，甘肃、新疆、四川报告病例数持续下降，历史高发区的传播势头得到控制。但近年来，我国中部地区（包括山西、河南、河北、陕西等省）的山区、丘陵和黄土高原地带犬源型内脏利什曼病病例数快速上升，复燃区（县）不断增多。</w:t>
      </w:r>
    </w:p>
    <w:p w14:paraId="1CED4A83">
      <w:pPr>
        <w:pStyle w:val="56"/>
        <w:ind w:firstLine="420"/>
        <w:rPr>
          <w:rFonts w:ascii="Times New Roman"/>
        </w:rPr>
      </w:pPr>
      <w:r>
        <w:rPr>
          <w:rFonts w:hint="eastAsia" w:ascii="Times New Roman"/>
        </w:rPr>
        <w:t>根据内脏利什曼病流行区地理景观、媒介白蛉种类、传染源和发病人群等流行病学特征，我国内脏利什曼病流行区在流行病学上大体可分为三种类型：①人源型。分布在山东、苏北、皖北、豫东、冀南、湖北以及陕西关中和新疆喀什三角洲等平原地区，目前主要分布在新疆南部古老绿洲地带，病人是主要传染源，流行区内病犬则罕见或无病犬，患者大都是年龄较大的儿童和青少年，婴儿很少感染。传播媒介为家栖的中华白蛉和近家栖的长管白蛉。②犬源型。分布在甘肃、青海、宁夏、川北、陕北、豫西、冀东北、辽宁和北京市郊等山丘地区，目前主要分布在山西、河南、河北、陕西、甘肃、四川和北京等省（市）的山区、丘陵以及黄土高原地带，病犬为主要传染源，患者多为10岁以内的儿童，近几年多中老年感染者增多。媒介是野栖或近野栖的中华白蛉。③野生动物源型。主要分布在新疆、甘肃和内蒙古的荒漠和砾漠地带，传染源为为某些尚未查明的野生动物宿主。患者多为2岁以下的婴幼儿。媒介为野生野栖的吴氏白蛉和亚历山大白蛉。</w:t>
      </w:r>
    </w:p>
    <w:p w14:paraId="3AF092E0">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r>
        <w:rPr>
          <w:rFonts w:hint="eastAsia" w:ascii="Times New Roman"/>
        </w:rPr>
        <w:t>20世纪80年代，我国新疆克拉玛依曾有皮肤利什曼病的流行，病原体确定为婴儿利什曼原虫，传播媒介为野栖的吴氏白蛉。该地区有其独特的地理景观，病例主要发生在胡杨和红柳混生、且有吴氏白蛉分布的荒漠地带，提示其可能是一种自然疫源性寄生虫病，但其动物宿主尚待研究阐明。近年来，我国未见本地感染皮肤利什曼病的报道。2000年至今，有从伊拉克、乌兹别克斯坦、也门、苏里南、尼日利亚、埃及、伊朗、阿富汗、巴基斯坦、阿尔及利亚、北非、叙利亚、沙特阿拉伯输入性病例报道，虫种多为硕大利什曼原虫。</w:t>
      </w:r>
    </w:p>
    <w:p w14:paraId="38224D69">
      <w:pPr>
        <w:pStyle w:val="198"/>
        <w:rPr>
          <w:vanish w:val="0"/>
        </w:rPr>
      </w:pPr>
    </w:p>
    <w:p w14:paraId="28EFB152">
      <w:pPr>
        <w:pStyle w:val="199"/>
        <w:rPr>
          <w:vanish w:val="0"/>
        </w:rPr>
      </w:pPr>
    </w:p>
    <w:p w14:paraId="56B578C4">
      <w:pPr>
        <w:pStyle w:val="76"/>
        <w:spacing w:after="120"/>
      </w:pPr>
      <w:r>
        <w:br w:type="textWrapping"/>
      </w:r>
      <w:bookmarkStart w:id="69" w:name="_Toc212127195"/>
      <w:r>
        <w:rPr>
          <w:rFonts w:hint="eastAsia"/>
        </w:rPr>
        <w:t>（规范性）</w:t>
      </w:r>
      <w:r>
        <w:br w:type="textWrapping"/>
      </w:r>
      <w:r>
        <w:rPr>
          <w:rFonts w:hint="eastAsia"/>
        </w:rPr>
        <w:t>NNN培养基的制备</w:t>
      </w:r>
      <w:bookmarkEnd w:id="69"/>
    </w:p>
    <w:p w14:paraId="425C4BCB">
      <w:pPr>
        <w:pStyle w:val="78"/>
        <w:spacing w:before="120" w:after="120"/>
        <w:rPr>
          <w:rFonts w:ascii="Times New Roman"/>
        </w:rPr>
      </w:pPr>
      <w:r>
        <w:rPr>
          <w:rFonts w:ascii="Times New Roman"/>
        </w:rPr>
        <w:t>洛克氏液的配制</w:t>
      </w:r>
    </w:p>
    <w:p w14:paraId="7E3288C6">
      <w:pPr>
        <w:pStyle w:val="56"/>
        <w:ind w:firstLine="420"/>
        <w:rPr>
          <w:rFonts w:ascii="Times New Roman"/>
        </w:rPr>
      </w:pPr>
      <w:r>
        <w:rPr>
          <w:rFonts w:ascii="Times New Roman"/>
        </w:rPr>
        <w:t>氯化钠0.45g，氯化钙0.01g，氯化钾0.02g，碳酸氢钠0.01g，葡萄糖0.125g，蒸馏水50mL，搅拌溶化后，经121℃ 15min高压灭菌后，冷却备用。</w:t>
      </w:r>
    </w:p>
    <w:p w14:paraId="64BC5099">
      <w:pPr>
        <w:pStyle w:val="78"/>
        <w:spacing w:before="120" w:after="120"/>
        <w:rPr>
          <w:rFonts w:ascii="Times New Roman"/>
        </w:rPr>
      </w:pPr>
      <w:r>
        <w:rPr>
          <w:rFonts w:ascii="Times New Roman"/>
        </w:rPr>
        <w:t>去纤维兔血的制备</w:t>
      </w:r>
    </w:p>
    <w:p w14:paraId="3FA3250C">
      <w:pPr>
        <w:pStyle w:val="79"/>
        <w:spacing w:before="120" w:after="120"/>
        <w:rPr>
          <w:rFonts w:ascii="Times New Roman" w:eastAsia="宋体"/>
          <w:kern w:val="0"/>
        </w:rPr>
      </w:pPr>
      <w:r>
        <w:rPr>
          <w:rFonts w:ascii="Times New Roman" w:eastAsia="宋体"/>
          <w:kern w:val="0"/>
        </w:rPr>
        <w:t>将家兔麻醉后仰卧于动物手术台或一固定板上，用绳缚其四肢，使其不能活动。</w:t>
      </w:r>
    </w:p>
    <w:p w14:paraId="0ACFB8EB">
      <w:pPr>
        <w:pStyle w:val="79"/>
        <w:spacing w:before="120" w:after="120"/>
        <w:rPr>
          <w:rFonts w:ascii="宋体" w:hAnsi="宋体" w:eastAsia="宋体"/>
        </w:rPr>
      </w:pPr>
      <w:r>
        <w:rPr>
          <w:rFonts w:ascii="宋体" w:hAnsi="宋体" w:eastAsia="宋体"/>
        </w:rPr>
        <w:t>在家兔左胸侧剪毛，再分别用碘酒棉球和酒精棉球消毒该处皮肤。</w:t>
      </w:r>
    </w:p>
    <w:p w14:paraId="320879BA">
      <w:pPr>
        <w:pStyle w:val="79"/>
        <w:spacing w:before="120" w:after="120"/>
        <w:rPr>
          <w:rFonts w:ascii="Times New Roman" w:eastAsia="宋体"/>
        </w:rPr>
      </w:pPr>
      <w:r>
        <w:rPr>
          <w:rFonts w:ascii="Times New Roman" w:eastAsia="宋体"/>
        </w:rPr>
        <w:t>用左手触摸左侧第3～4肋间，选择心搏处穿刺（胸骨左缘外3mm处），右手持50mL一次性无菌注射器（8号针头）在此搏动最强烈处刺入心脏，进针后针头偏向胸骨，与水平面呈45°夹角，或沿剑突尾端缘和腹面平面呈30°角向头端刺入。抽出所需血量后，应迅速拔针，用手指紧压术部并消毒。一次取血不超过20～25ml。采血动作宜迅速，以缩短在心脏内的留针时间和防止血液凝固或溶血，采血中回血不好或动物躁动时应拔出注射器，重新确认后再次穿刺采血。</w:t>
      </w:r>
    </w:p>
    <w:p w14:paraId="14FCA343">
      <w:pPr>
        <w:pStyle w:val="79"/>
        <w:spacing w:before="120" w:after="120"/>
        <w:rPr>
          <w:rFonts w:ascii="宋体" w:hAnsi="宋体" w:eastAsia="宋体"/>
        </w:rPr>
      </w:pPr>
      <w:r>
        <w:rPr>
          <w:rFonts w:ascii="Times New Roman" w:eastAsia="宋体"/>
        </w:rPr>
        <w:t>立刻将所采得的血液在酒精灯旁注入装有大约100颗直径4 mm玻璃珠的经121℃ 15min高压灭菌的三角烧瓶内，按一个方向摇动烧瓶大约5分钟，直到兔血完全脱纤维，出现纤维团块。室温放置1～2小时后无菌环境加入0.5mg/mL氨苄青霉素备用</w:t>
      </w:r>
      <w:r>
        <w:rPr>
          <w:rFonts w:ascii="宋体" w:hAnsi="宋体" w:eastAsia="宋体"/>
        </w:rPr>
        <w:t>。</w:t>
      </w:r>
    </w:p>
    <w:p w14:paraId="70EB0545">
      <w:pPr>
        <w:pStyle w:val="78"/>
        <w:spacing w:before="120" w:after="120"/>
        <w:rPr>
          <w:rFonts w:ascii="Times New Roman"/>
        </w:rPr>
      </w:pPr>
      <w:r>
        <w:rPr>
          <w:rFonts w:ascii="Times New Roman"/>
        </w:rPr>
        <w:t>NNN培养基的制备</w:t>
      </w:r>
    </w:p>
    <w:p w14:paraId="0E3A3AC9">
      <w:pPr>
        <w:pStyle w:val="56"/>
        <w:ind w:firstLine="420"/>
        <w:rPr>
          <w:rFonts w:ascii="Times New Roman"/>
          <w:szCs w:val="21"/>
        </w:rPr>
      </w:pPr>
      <w:r>
        <w:rPr>
          <w:rFonts w:hint="eastAsia" w:ascii="Times New Roman"/>
          <w:szCs w:val="21"/>
        </w:rPr>
        <w:t>将琼脂1.4g、氯化钠0.6g、蒸馏水90mL置于烧瓶中，加热搅拌使琼脂粉融化。待琼脂粉充分融化后用10mL无菌移液管分装在洁净的试管或三角烧瓶中，每试管3mL，每三角烧瓶10mL，再用棉塞塞住管口。经121℃ 15min高压灭菌后取出后放入预先设定50℃的水浴锅中，待培养基冷却到约50℃时每支试管内加入1mLC.2制备的脱纤维兔血，使血与琼脂充分混匀，试管斜置待冷（可置于冰水内），使培养基迅速凝固，试管内培养基形成斜面。凝固完全后在酒精灯旁用经121℃ 15min 高压灭菌的橡皮塞换去棉塞。</w:t>
      </w:r>
    </w:p>
    <w:p w14:paraId="08709A9E">
      <w:pPr>
        <w:pStyle w:val="56"/>
        <w:ind w:firstLine="0" w:firstLineChars="0"/>
        <w:rPr>
          <w:rFonts w:ascii="Times New Roman" w:eastAsia="黑体"/>
          <w:kern w:val="21"/>
        </w:rPr>
      </w:pPr>
      <w:r>
        <w:rPr>
          <w:rFonts w:hint="eastAsia" w:ascii="Times New Roman" w:eastAsia="黑体"/>
          <w:kern w:val="21"/>
        </w:rPr>
        <w:t>C.</w:t>
      </w:r>
      <w:r>
        <w:rPr>
          <w:rFonts w:ascii="Times New Roman" w:eastAsia="黑体"/>
          <w:kern w:val="21"/>
        </w:rPr>
        <w:t>4</w:t>
      </w:r>
      <w:r>
        <w:rPr>
          <w:rFonts w:hint="eastAsia" w:ascii="Times New Roman" w:eastAsia="黑体"/>
          <w:kern w:val="21"/>
        </w:rPr>
        <w:t>　 NNN培养基的无菌检查和保存</w:t>
      </w:r>
    </w:p>
    <w:p w14:paraId="7B41E0D7">
      <w:pPr>
        <w:pStyle w:val="56"/>
        <w:ind w:firstLine="420"/>
        <w:rPr>
          <w:rFonts w:ascii="Times New Roman"/>
          <w:szCs w:val="21"/>
        </w:rPr>
      </w:pPr>
      <w:r>
        <w:rPr>
          <w:rFonts w:ascii="Times New Roman"/>
          <w:szCs w:val="21"/>
        </w:rPr>
        <w:t>将新制备的NNN培养基在 37°C 条件下培养24 h，随后观察血琼脂表面是否有杂菌生长迹象。若培养基出现此类迹象，应立即废弃。无杂菌生长的培养基置4°C冰箱内保存备用，使用前每支NNN培养基试管加1mL洛克氏液。</w:t>
      </w:r>
    </w:p>
    <w:p w14:paraId="5553BE93">
      <w:pPr>
        <w:pStyle w:val="56"/>
        <w:ind w:firstLine="0" w:firstLineChars="0"/>
        <w:rPr>
          <w:rFonts w:hint="eastAsia" w:ascii="Times New Roman"/>
          <w:szCs w:val="21"/>
        </w:rPr>
      </w:pPr>
    </w:p>
    <w:p w14:paraId="13A71745">
      <w:pPr>
        <w:pStyle w:val="56"/>
        <w:ind w:firstLine="0" w:firstLineChars="0"/>
        <w:rPr>
          <w:rFonts w:hint="eastAsia" w:ascii="Times New Roman"/>
        </w:rPr>
        <w:sectPr>
          <w:pgSz w:w="11906" w:h="16838"/>
          <w:pgMar w:top="1928" w:right="1134" w:bottom="1134" w:left="1134" w:header="1418" w:footer="1134" w:gutter="284"/>
          <w:cols w:space="425" w:num="1"/>
          <w:formProt w:val="0"/>
          <w:docGrid w:linePitch="312" w:charSpace="0"/>
        </w:sectPr>
      </w:pPr>
    </w:p>
    <w:p w14:paraId="41BACAFC">
      <w:pPr>
        <w:pStyle w:val="198"/>
        <w:rPr>
          <w:vanish w:val="0"/>
        </w:rPr>
      </w:pPr>
    </w:p>
    <w:p w14:paraId="3E95D1D6">
      <w:pPr>
        <w:pStyle w:val="199"/>
        <w:rPr>
          <w:vanish w:val="0"/>
        </w:rPr>
      </w:pPr>
    </w:p>
    <w:p w14:paraId="29810237">
      <w:pPr>
        <w:pStyle w:val="76"/>
        <w:spacing w:after="120"/>
      </w:pPr>
      <w:r>
        <w:br w:type="textWrapping"/>
      </w:r>
      <w:bookmarkStart w:id="70" w:name="_Toc212127196"/>
      <w:r>
        <w:rPr>
          <w:rFonts w:hint="eastAsia"/>
        </w:rPr>
        <w:t>（规范性）</w:t>
      </w:r>
      <w:r>
        <w:br w:type="textWrapping"/>
      </w:r>
      <w:r>
        <w:rPr>
          <w:rFonts w:hint="eastAsia"/>
        </w:rPr>
        <w:t>我国利什曼原虫虫种鉴定技术</w:t>
      </w:r>
      <w:bookmarkEnd w:id="70"/>
    </w:p>
    <w:p w14:paraId="642777FC">
      <w:pPr>
        <w:pStyle w:val="78"/>
        <w:spacing w:before="120" w:after="120"/>
        <w:rPr>
          <w:rFonts w:ascii="Times New Roman"/>
        </w:rPr>
      </w:pPr>
      <w:r>
        <w:rPr>
          <w:rFonts w:ascii="Times New Roman"/>
        </w:rPr>
        <w:t>样本采集和准备</w:t>
      </w:r>
    </w:p>
    <w:p w14:paraId="08524D42">
      <w:pPr>
        <w:pStyle w:val="56"/>
        <w:ind w:firstLine="420"/>
        <w:rPr>
          <w:rFonts w:ascii="Times New Roman"/>
        </w:rPr>
      </w:pPr>
      <w:r>
        <w:rPr>
          <w:rFonts w:ascii="Times New Roman"/>
        </w:rPr>
        <w:t>利什曼原虫感染的动物或患者的骨髓、脾、淋巴结或皮肤的穿刺物经培养后获得的利什曼原虫前鞭毛体，以及从白蛉体内获得的利什曼原虫前鞭毛体。应无菌采集。</w:t>
      </w:r>
    </w:p>
    <w:p w14:paraId="6E4D01E8">
      <w:pPr>
        <w:pStyle w:val="78"/>
        <w:spacing w:before="120" w:after="120"/>
        <w:rPr>
          <w:rFonts w:ascii="Times New Roman"/>
        </w:rPr>
      </w:pPr>
      <w:r>
        <w:rPr>
          <w:rFonts w:ascii="Times New Roman"/>
        </w:rPr>
        <w:t>操作方法与步骤</w:t>
      </w:r>
    </w:p>
    <w:p w14:paraId="3EFEEE47">
      <w:pPr>
        <w:pStyle w:val="79"/>
        <w:spacing w:before="120" w:after="120"/>
        <w:rPr>
          <w:rFonts w:ascii="Times New Roman"/>
        </w:rPr>
      </w:pPr>
      <w:r>
        <w:rPr>
          <w:rFonts w:ascii="Times New Roman"/>
        </w:rPr>
        <w:t>核酸提取</w:t>
      </w:r>
    </w:p>
    <w:p w14:paraId="528890F6">
      <w:pPr>
        <w:pStyle w:val="56"/>
        <w:ind w:firstLine="420"/>
        <w:rPr>
          <w:rFonts w:ascii="Times New Roman"/>
        </w:rPr>
      </w:pPr>
      <w:r>
        <w:rPr>
          <w:rFonts w:ascii="Times New Roman"/>
        </w:rPr>
        <w:t>取 100 µL样品，用商品化的DNA提取试剂盒提取基因组DNA，操作步骤按试剂盒说明书进行。</w:t>
      </w:r>
    </w:p>
    <w:p w14:paraId="16EFF016">
      <w:pPr>
        <w:pStyle w:val="79"/>
        <w:spacing w:before="120" w:after="120"/>
        <w:rPr>
          <w:rFonts w:ascii="Times New Roman"/>
        </w:rPr>
      </w:pPr>
      <w:r>
        <w:rPr>
          <w:rFonts w:ascii="Times New Roman"/>
        </w:rPr>
        <w:t>PCR扩增</w:t>
      </w:r>
    </w:p>
    <w:p w14:paraId="714241BA">
      <w:pPr>
        <w:pStyle w:val="81"/>
        <w:spacing w:before="120" w:after="120"/>
        <w:rPr>
          <w:rFonts w:ascii="Times New Roman"/>
        </w:rPr>
      </w:pPr>
      <w:r>
        <w:rPr>
          <w:rFonts w:ascii="Times New Roman"/>
        </w:rPr>
        <w:t>引物名称和序列</w:t>
      </w:r>
    </w:p>
    <w:p w14:paraId="74F86B66">
      <w:pPr>
        <w:pStyle w:val="56"/>
        <w:ind w:firstLine="420"/>
        <w:rPr>
          <w:rFonts w:ascii="Times New Roman"/>
        </w:rPr>
      </w:pPr>
      <w:r>
        <w:rPr>
          <w:rFonts w:ascii="Times New Roman"/>
        </w:rPr>
        <w:t>上游引物K26F序列：5′-ACGAAGGACTCCGCAAAG-3′；下游引物K26R序列：5′-TTCCCATCGTTTTGCTG-3′。</w:t>
      </w:r>
    </w:p>
    <w:p w14:paraId="2B3AA6BE">
      <w:pPr>
        <w:pStyle w:val="81"/>
        <w:spacing w:before="120" w:after="120"/>
        <w:rPr>
          <w:rFonts w:ascii="Times New Roman"/>
        </w:rPr>
      </w:pPr>
      <w:r>
        <w:rPr>
          <w:rFonts w:ascii="Times New Roman"/>
        </w:rPr>
        <w:t>PCR反应体系</w:t>
      </w:r>
    </w:p>
    <w:p w14:paraId="5F5783DE">
      <w:pPr>
        <w:pStyle w:val="56"/>
        <w:ind w:firstLine="420"/>
        <w:rPr>
          <w:rFonts w:ascii="Times New Roman"/>
        </w:rPr>
      </w:pPr>
      <w:r>
        <w:rPr>
          <w:rFonts w:ascii="Times New Roman"/>
        </w:rPr>
        <w:t>向PCR管中依次加入10×PCR缓冲液5μL，dNTPs（10 mmol/L）1 μL，上下游引物各1 μL（10 μmol/L)， Taq DNA 聚合酶（5U/μL）0.5 μL，DNA模板1 μL（70 ~ 90 ng），加去离子灭菌水至50μL。设置阳性（我国利什曼原虫分离株基因组DNA）、阴性（健康人基因组DNA）和空白（去离子灭菌水）对照。各PCR管内试剂混匀后离心5s。</w:t>
      </w:r>
    </w:p>
    <w:p w14:paraId="539D9EC6">
      <w:pPr>
        <w:pStyle w:val="81"/>
        <w:spacing w:before="120" w:after="120"/>
        <w:rPr>
          <w:rFonts w:ascii="Times New Roman"/>
        </w:rPr>
      </w:pPr>
      <w:r>
        <w:rPr>
          <w:rFonts w:ascii="Times New Roman"/>
        </w:rPr>
        <w:t>PCR反应程序</w:t>
      </w:r>
    </w:p>
    <w:p w14:paraId="1FE287DF">
      <w:pPr>
        <w:pStyle w:val="56"/>
        <w:ind w:firstLine="420"/>
        <w:rPr>
          <w:rFonts w:ascii="Times New Roman"/>
        </w:rPr>
      </w:pPr>
      <w:r>
        <w:rPr>
          <w:rFonts w:ascii="Times New Roman"/>
        </w:rPr>
        <w:t>95 ℃ 4 min；94 ℃ 30 s，50 ℃ 15 s，72 ℃ 1 min，共35个循环；72 ℃ 10min；4 ℃ 。</w:t>
      </w:r>
    </w:p>
    <w:p w14:paraId="2C054914">
      <w:pPr>
        <w:pStyle w:val="78"/>
        <w:spacing w:before="120" w:after="120"/>
        <w:rPr>
          <w:rFonts w:ascii="Times New Roman"/>
        </w:rPr>
      </w:pPr>
      <w:r>
        <w:rPr>
          <w:rFonts w:ascii="Times New Roman"/>
        </w:rPr>
        <w:t>结果判定</w:t>
      </w:r>
    </w:p>
    <w:p w14:paraId="1F66D848">
      <w:pPr>
        <w:pStyle w:val="79"/>
        <w:spacing w:before="120" w:after="120"/>
        <w:rPr>
          <w:rFonts w:ascii="Times New Roman"/>
        </w:rPr>
      </w:pPr>
      <w:r>
        <w:rPr>
          <w:rFonts w:ascii="Times New Roman"/>
        </w:rPr>
        <w:t>电泳分析</w:t>
      </w:r>
    </w:p>
    <w:p w14:paraId="4CA28C52">
      <w:pPr>
        <w:pStyle w:val="56"/>
        <w:ind w:firstLine="420"/>
        <w:rPr>
          <w:rFonts w:ascii="Times New Roman"/>
        </w:rPr>
      </w:pPr>
      <w:r>
        <w:rPr>
          <w:rFonts w:ascii="Times New Roman"/>
        </w:rPr>
        <w:t>取PCR产物 5 µL与 1 μL 6×加样缓冲液混合，加样于含溴化乙锭替代物的1.0％琼脂糖凝胶中，在1×TAE 缓冲液中，5 V/cm 电泳约 40 min，当溴酚蓝到达底部时停止电泳，用凝胶成像系统或紫外分析仪进行分析。出现大小在 400 bp～1 000 bp 的特异性的扩增片段，空白对照和阴性对照未出现条带，PCR 结果阳性；未出现特异性的扩增片段，空白对照和阴性对照未出现条带，PCR 结果阴性。</w:t>
      </w:r>
    </w:p>
    <w:p w14:paraId="1BE87DF2">
      <w:pPr>
        <w:pStyle w:val="79"/>
        <w:spacing w:before="120" w:after="120"/>
        <w:rPr>
          <w:rFonts w:ascii="Times New Roman"/>
        </w:rPr>
      </w:pPr>
      <w:r>
        <w:rPr>
          <w:rFonts w:ascii="Times New Roman"/>
        </w:rPr>
        <w:t>测序分析</w:t>
      </w:r>
    </w:p>
    <w:p w14:paraId="36D6AB4F">
      <w:pPr>
        <w:pStyle w:val="56"/>
        <w:ind w:firstLine="420"/>
        <w:rPr>
          <w:rFonts w:ascii="Times New Roman"/>
        </w:rPr>
      </w:pPr>
      <w:r>
        <w:rPr>
          <w:rFonts w:ascii="Times New Roman"/>
        </w:rPr>
        <w:t>阳性 PCR 扩增产物进行双向测序，将序列进行 BLAST 比对分析。</w:t>
      </w:r>
    </w:p>
    <w:p w14:paraId="3388379A">
      <w:pPr>
        <w:pStyle w:val="79"/>
        <w:spacing w:before="120" w:after="120"/>
        <w:rPr>
          <w:rFonts w:ascii="Times New Roman"/>
        </w:rPr>
      </w:pPr>
      <w:r>
        <w:rPr>
          <w:rFonts w:ascii="Times New Roman"/>
        </w:rPr>
        <w:t>虫种鉴定</w:t>
      </w:r>
    </w:p>
    <w:p w14:paraId="688E3B01">
      <w:pPr>
        <w:pStyle w:val="56"/>
        <w:ind w:firstLine="420"/>
        <w:rPr>
          <w:rFonts w:ascii="Times New Roman"/>
        </w:rPr>
      </w:pPr>
      <w:r>
        <w:rPr>
          <w:rFonts w:ascii="Times New Roman"/>
        </w:rPr>
        <w:t>表D-1列出了我国不同流行区利什曼原虫分离株K26扩增序列长度和参考GenBank登录号，可根据扩增片段大小进行定种，也可将测序结果在GenBank中进行比对定种。</w:t>
      </w:r>
    </w:p>
    <w:p w14:paraId="381F672E">
      <w:pPr>
        <w:pStyle w:val="56"/>
        <w:ind w:firstLine="420"/>
        <w:jc w:val="center"/>
        <w:rPr>
          <w:rFonts w:ascii="Times New Roman"/>
        </w:rPr>
      </w:pPr>
      <w:r>
        <w:rPr>
          <w:rFonts w:ascii="Times New Roman"/>
        </w:rPr>
        <w:t>表D-1我国不同流行区利什曼原虫分离株及其K26扩增序列长度和GenBank登录号</w:t>
      </w:r>
    </w:p>
    <w:tbl>
      <w:tblPr>
        <w:tblStyle w:val="26"/>
        <w:tblW w:w="8560"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8"/>
        <w:gridCol w:w="1930"/>
        <w:gridCol w:w="225"/>
        <w:gridCol w:w="1134"/>
        <w:gridCol w:w="3613"/>
      </w:tblGrid>
      <w:tr w14:paraId="416EF214">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658" w:type="dxa"/>
            <w:tcBorders>
              <w:top w:val="single" w:color="auto" w:sz="8" w:space="0"/>
              <w:left w:val="nil"/>
              <w:bottom w:val="single" w:color="auto" w:sz="8" w:space="0"/>
              <w:right w:val="nil"/>
            </w:tcBorders>
            <w:vAlign w:val="center"/>
          </w:tcPr>
          <w:p w14:paraId="211835CA">
            <w:pPr>
              <w:spacing w:line="360" w:lineRule="auto"/>
              <w:jc w:val="center"/>
              <w:rPr>
                <w:rFonts w:ascii="Times New Roman" w:hAnsi="Times New Roman"/>
                <w:bCs/>
              </w:rPr>
            </w:pPr>
            <w:r>
              <w:rPr>
                <w:rFonts w:ascii="Times New Roman" w:hAnsi="Times New Roman"/>
                <w:bCs/>
              </w:rPr>
              <w:t>流行区</w:t>
            </w:r>
          </w:p>
        </w:tc>
        <w:tc>
          <w:tcPr>
            <w:tcW w:w="1930" w:type="dxa"/>
            <w:tcBorders>
              <w:top w:val="single" w:color="auto" w:sz="8" w:space="0"/>
              <w:left w:val="nil"/>
              <w:bottom w:val="single" w:color="auto" w:sz="8" w:space="0"/>
              <w:right w:val="nil"/>
            </w:tcBorders>
            <w:vAlign w:val="center"/>
          </w:tcPr>
          <w:p w14:paraId="19DF6E50">
            <w:pPr>
              <w:spacing w:line="360" w:lineRule="auto"/>
              <w:ind w:firstLine="420" w:firstLineChars="200"/>
              <w:jc w:val="center"/>
              <w:rPr>
                <w:rFonts w:ascii="Times New Roman" w:hAnsi="Times New Roman"/>
              </w:rPr>
            </w:pPr>
            <w:r>
              <w:rPr>
                <w:rFonts w:ascii="Times New Roman" w:hAnsi="Times New Roman"/>
              </w:rPr>
              <w:t>虫种</w:t>
            </w:r>
          </w:p>
        </w:tc>
        <w:tc>
          <w:tcPr>
            <w:tcW w:w="1359" w:type="dxa"/>
            <w:gridSpan w:val="2"/>
            <w:tcBorders>
              <w:top w:val="single" w:color="auto" w:sz="8" w:space="0"/>
              <w:left w:val="nil"/>
              <w:bottom w:val="single" w:color="auto" w:sz="8" w:space="0"/>
              <w:right w:val="nil"/>
            </w:tcBorders>
            <w:vAlign w:val="center"/>
          </w:tcPr>
          <w:p w14:paraId="58CECA98">
            <w:pPr>
              <w:spacing w:line="360" w:lineRule="auto"/>
              <w:jc w:val="center"/>
              <w:rPr>
                <w:rFonts w:ascii="Times New Roman" w:hAnsi="Times New Roman"/>
              </w:rPr>
            </w:pPr>
            <w:r>
              <w:rPr>
                <w:rFonts w:ascii="Times New Roman" w:hAnsi="Times New Roman"/>
              </w:rPr>
              <w:t>序列长度/bp</w:t>
            </w:r>
          </w:p>
        </w:tc>
        <w:tc>
          <w:tcPr>
            <w:tcW w:w="3613" w:type="dxa"/>
            <w:tcBorders>
              <w:top w:val="single" w:color="auto" w:sz="8" w:space="0"/>
              <w:left w:val="nil"/>
              <w:bottom w:val="single" w:color="auto" w:sz="8" w:space="0"/>
              <w:right w:val="nil"/>
            </w:tcBorders>
            <w:vAlign w:val="center"/>
          </w:tcPr>
          <w:p w14:paraId="08EB41FC">
            <w:pPr>
              <w:spacing w:line="360" w:lineRule="auto"/>
              <w:jc w:val="center"/>
              <w:rPr>
                <w:rFonts w:ascii="Times New Roman" w:hAnsi="Times New Roman"/>
              </w:rPr>
            </w:pPr>
            <w:r>
              <w:rPr>
                <w:rFonts w:ascii="Times New Roman" w:hAnsi="Times New Roman"/>
              </w:rPr>
              <w:t>参考GenBank登录号</w:t>
            </w:r>
          </w:p>
        </w:tc>
      </w:tr>
      <w:tr w14:paraId="0B71C230">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658" w:type="dxa"/>
            <w:tcBorders>
              <w:top w:val="single" w:color="auto" w:sz="8" w:space="0"/>
              <w:left w:val="nil"/>
              <w:bottom w:val="nil"/>
              <w:right w:val="nil"/>
            </w:tcBorders>
            <w:vAlign w:val="center"/>
          </w:tcPr>
          <w:p w14:paraId="0253F8AE">
            <w:pPr>
              <w:spacing w:line="360" w:lineRule="auto"/>
              <w:jc w:val="center"/>
              <w:rPr>
                <w:rFonts w:ascii="Times New Roman" w:hAnsi="Times New Roman"/>
              </w:rPr>
            </w:pPr>
            <w:r>
              <w:rPr>
                <w:rFonts w:ascii="Times New Roman" w:hAnsi="Times New Roman"/>
              </w:rPr>
              <w:t>人源型</w:t>
            </w:r>
          </w:p>
        </w:tc>
        <w:tc>
          <w:tcPr>
            <w:tcW w:w="2155" w:type="dxa"/>
            <w:gridSpan w:val="2"/>
            <w:tcBorders>
              <w:top w:val="single" w:color="auto" w:sz="8" w:space="0"/>
              <w:left w:val="nil"/>
              <w:bottom w:val="nil"/>
              <w:right w:val="nil"/>
            </w:tcBorders>
            <w:vAlign w:val="center"/>
          </w:tcPr>
          <w:p w14:paraId="0EC4CBCA">
            <w:pPr>
              <w:spacing w:line="360" w:lineRule="auto"/>
              <w:jc w:val="center"/>
              <w:rPr>
                <w:rFonts w:ascii="Times New Roman" w:hAnsi="Times New Roman"/>
              </w:rPr>
            </w:pPr>
            <w:r>
              <w:rPr>
                <w:rFonts w:ascii="Times New Roman" w:hAnsi="Times New Roman"/>
              </w:rPr>
              <w:t>杜氏利什曼原虫</w:t>
            </w:r>
          </w:p>
        </w:tc>
        <w:tc>
          <w:tcPr>
            <w:tcW w:w="1134" w:type="dxa"/>
            <w:tcBorders>
              <w:top w:val="single" w:color="auto" w:sz="8" w:space="0"/>
              <w:left w:val="nil"/>
              <w:bottom w:val="nil"/>
              <w:right w:val="nil"/>
            </w:tcBorders>
            <w:vAlign w:val="center"/>
          </w:tcPr>
          <w:p w14:paraId="6CC0645D">
            <w:pPr>
              <w:spacing w:line="360" w:lineRule="auto"/>
              <w:jc w:val="center"/>
              <w:rPr>
                <w:rFonts w:ascii="Times New Roman" w:hAnsi="Times New Roman"/>
              </w:rPr>
            </w:pPr>
            <w:r>
              <w:rPr>
                <w:rFonts w:ascii="Times New Roman" w:hAnsi="Times New Roman"/>
              </w:rPr>
              <w:t>920</w:t>
            </w:r>
          </w:p>
        </w:tc>
        <w:tc>
          <w:tcPr>
            <w:tcW w:w="3613" w:type="dxa"/>
            <w:tcBorders>
              <w:top w:val="single" w:color="auto" w:sz="8" w:space="0"/>
              <w:left w:val="nil"/>
              <w:bottom w:val="nil"/>
              <w:right w:val="nil"/>
            </w:tcBorders>
            <w:vAlign w:val="center"/>
          </w:tcPr>
          <w:p w14:paraId="27F83DA3">
            <w:pPr>
              <w:spacing w:line="360" w:lineRule="auto"/>
              <w:jc w:val="center"/>
              <w:rPr>
                <w:rFonts w:ascii="Times New Roman" w:hAnsi="Times New Roman"/>
              </w:rPr>
            </w:pPr>
            <w:r>
              <w:rPr>
                <w:rFonts w:ascii="Times New Roman" w:hAnsi="Times New Roman"/>
              </w:rPr>
              <w:t>MN702441-MN702442、 MN688111</w:t>
            </w:r>
          </w:p>
        </w:tc>
      </w:tr>
      <w:tr w14:paraId="155F4422">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658" w:type="dxa"/>
            <w:tcBorders>
              <w:top w:val="nil"/>
              <w:left w:val="nil"/>
              <w:bottom w:val="nil"/>
              <w:right w:val="nil"/>
            </w:tcBorders>
            <w:vAlign w:val="center"/>
          </w:tcPr>
          <w:p w14:paraId="3E6985AD">
            <w:pPr>
              <w:spacing w:line="360" w:lineRule="auto"/>
              <w:jc w:val="center"/>
              <w:rPr>
                <w:rFonts w:ascii="Times New Roman" w:hAnsi="Times New Roman"/>
              </w:rPr>
            </w:pPr>
            <w:r>
              <w:rPr>
                <w:rFonts w:ascii="Times New Roman" w:hAnsi="Times New Roman"/>
              </w:rPr>
              <w:t>犬源型</w:t>
            </w:r>
          </w:p>
        </w:tc>
        <w:tc>
          <w:tcPr>
            <w:tcW w:w="2155" w:type="dxa"/>
            <w:gridSpan w:val="2"/>
            <w:tcBorders>
              <w:top w:val="nil"/>
              <w:left w:val="nil"/>
              <w:bottom w:val="nil"/>
              <w:right w:val="nil"/>
            </w:tcBorders>
            <w:vAlign w:val="center"/>
          </w:tcPr>
          <w:p w14:paraId="557548D2">
            <w:pPr>
              <w:spacing w:line="360" w:lineRule="auto"/>
              <w:jc w:val="center"/>
              <w:rPr>
                <w:rFonts w:ascii="Times New Roman" w:hAnsi="Times New Roman"/>
              </w:rPr>
            </w:pPr>
            <w:r>
              <w:rPr>
                <w:rFonts w:ascii="Times New Roman" w:hAnsi="Times New Roman"/>
              </w:rPr>
              <w:t>婴儿利什曼原虫</w:t>
            </w:r>
          </w:p>
        </w:tc>
        <w:tc>
          <w:tcPr>
            <w:tcW w:w="1134" w:type="dxa"/>
            <w:tcBorders>
              <w:top w:val="nil"/>
              <w:left w:val="nil"/>
              <w:bottom w:val="nil"/>
              <w:right w:val="nil"/>
            </w:tcBorders>
            <w:vAlign w:val="center"/>
          </w:tcPr>
          <w:p w14:paraId="33902E03">
            <w:pPr>
              <w:spacing w:line="360" w:lineRule="auto"/>
              <w:jc w:val="center"/>
              <w:rPr>
                <w:rFonts w:ascii="Times New Roman" w:hAnsi="Times New Roman"/>
              </w:rPr>
            </w:pPr>
            <w:r>
              <w:rPr>
                <w:rFonts w:ascii="Times New Roman" w:hAnsi="Times New Roman"/>
              </w:rPr>
              <w:t>404</w:t>
            </w:r>
          </w:p>
        </w:tc>
        <w:tc>
          <w:tcPr>
            <w:tcW w:w="3613" w:type="dxa"/>
            <w:tcBorders>
              <w:top w:val="nil"/>
              <w:left w:val="nil"/>
              <w:bottom w:val="nil"/>
              <w:right w:val="nil"/>
            </w:tcBorders>
            <w:vAlign w:val="center"/>
          </w:tcPr>
          <w:p w14:paraId="5E2E86D4">
            <w:pPr>
              <w:spacing w:line="360" w:lineRule="auto"/>
              <w:ind w:firstLine="420" w:firstLineChars="200"/>
              <w:jc w:val="center"/>
              <w:rPr>
                <w:rFonts w:ascii="Times New Roman" w:hAnsi="Times New Roman"/>
              </w:rPr>
            </w:pPr>
            <w:r>
              <w:rPr>
                <w:rFonts w:ascii="Times New Roman" w:hAnsi="Times New Roman"/>
              </w:rPr>
              <w:t>MN688116- MN688119</w:t>
            </w:r>
          </w:p>
        </w:tc>
      </w:tr>
      <w:tr w14:paraId="76621DB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658" w:type="dxa"/>
            <w:tcBorders>
              <w:top w:val="nil"/>
              <w:left w:val="nil"/>
              <w:bottom w:val="nil"/>
              <w:right w:val="nil"/>
            </w:tcBorders>
            <w:vAlign w:val="center"/>
          </w:tcPr>
          <w:p w14:paraId="6C12D539">
            <w:pPr>
              <w:spacing w:line="360" w:lineRule="auto"/>
              <w:jc w:val="center"/>
              <w:rPr>
                <w:rFonts w:ascii="Times New Roman" w:hAnsi="Times New Roman"/>
              </w:rPr>
            </w:pPr>
            <w:r>
              <w:rPr>
                <w:rFonts w:ascii="Times New Roman" w:hAnsi="Times New Roman"/>
              </w:rPr>
              <w:t>野生动物源型</w:t>
            </w:r>
          </w:p>
        </w:tc>
        <w:tc>
          <w:tcPr>
            <w:tcW w:w="1930" w:type="dxa"/>
            <w:tcBorders>
              <w:top w:val="nil"/>
              <w:left w:val="nil"/>
              <w:bottom w:val="nil"/>
              <w:right w:val="nil"/>
            </w:tcBorders>
            <w:vAlign w:val="center"/>
          </w:tcPr>
          <w:p w14:paraId="24369B95">
            <w:pPr>
              <w:spacing w:line="360" w:lineRule="auto"/>
              <w:jc w:val="center"/>
              <w:rPr>
                <w:rFonts w:ascii="Times New Roman" w:hAnsi="Times New Roman"/>
              </w:rPr>
            </w:pPr>
            <w:r>
              <w:rPr>
                <w:rFonts w:ascii="Times New Roman" w:hAnsi="Times New Roman"/>
              </w:rPr>
              <w:t xml:space="preserve">  婴儿利什曼原虫</w:t>
            </w:r>
          </w:p>
        </w:tc>
        <w:tc>
          <w:tcPr>
            <w:tcW w:w="1359" w:type="dxa"/>
            <w:gridSpan w:val="2"/>
            <w:tcBorders>
              <w:top w:val="nil"/>
              <w:left w:val="nil"/>
              <w:bottom w:val="nil"/>
              <w:right w:val="nil"/>
            </w:tcBorders>
            <w:vAlign w:val="center"/>
          </w:tcPr>
          <w:p w14:paraId="1B76B0DE">
            <w:pPr>
              <w:spacing w:line="360" w:lineRule="auto"/>
              <w:ind w:firstLine="210" w:firstLineChars="100"/>
              <w:jc w:val="center"/>
              <w:rPr>
                <w:rFonts w:ascii="Times New Roman" w:hAnsi="Times New Roman"/>
              </w:rPr>
            </w:pPr>
            <w:r>
              <w:rPr>
                <w:rFonts w:ascii="Times New Roman" w:hAnsi="Times New Roman"/>
              </w:rPr>
              <w:t>491</w:t>
            </w:r>
          </w:p>
        </w:tc>
        <w:tc>
          <w:tcPr>
            <w:tcW w:w="3613" w:type="dxa"/>
            <w:tcBorders>
              <w:top w:val="nil"/>
              <w:left w:val="nil"/>
              <w:bottom w:val="nil"/>
              <w:right w:val="nil"/>
            </w:tcBorders>
            <w:vAlign w:val="center"/>
          </w:tcPr>
          <w:p w14:paraId="471171A7">
            <w:pPr>
              <w:spacing w:line="360" w:lineRule="auto"/>
              <w:ind w:firstLine="420" w:firstLineChars="200"/>
              <w:jc w:val="center"/>
              <w:rPr>
                <w:rFonts w:ascii="Times New Roman" w:hAnsi="Times New Roman"/>
              </w:rPr>
            </w:pPr>
            <w:r>
              <w:rPr>
                <w:rFonts w:ascii="Times New Roman" w:hAnsi="Times New Roman"/>
              </w:rPr>
              <w:t>MN688112- MN688115</w:t>
            </w:r>
          </w:p>
        </w:tc>
      </w:tr>
      <w:tr w14:paraId="67BBE965">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1658" w:type="dxa"/>
            <w:tcBorders>
              <w:top w:val="nil"/>
              <w:left w:val="nil"/>
              <w:bottom w:val="single" w:color="auto" w:sz="4" w:space="0"/>
              <w:right w:val="nil"/>
            </w:tcBorders>
            <w:vAlign w:val="center"/>
          </w:tcPr>
          <w:p w14:paraId="5951AD62">
            <w:pPr>
              <w:spacing w:line="360" w:lineRule="auto"/>
              <w:jc w:val="center"/>
              <w:rPr>
                <w:rFonts w:ascii="Times New Roman" w:hAnsi="Times New Roman"/>
              </w:rPr>
            </w:pPr>
            <w:r>
              <w:rPr>
                <w:rFonts w:ascii="Times New Roman" w:hAnsi="Times New Roman"/>
              </w:rPr>
              <w:t>皮肤利什曼病</w:t>
            </w:r>
          </w:p>
        </w:tc>
        <w:tc>
          <w:tcPr>
            <w:tcW w:w="1930" w:type="dxa"/>
            <w:tcBorders>
              <w:top w:val="nil"/>
              <w:left w:val="nil"/>
              <w:bottom w:val="single" w:color="auto" w:sz="4" w:space="0"/>
              <w:right w:val="nil"/>
            </w:tcBorders>
            <w:vAlign w:val="center"/>
          </w:tcPr>
          <w:p w14:paraId="03843DE9">
            <w:pPr>
              <w:spacing w:line="360" w:lineRule="auto"/>
              <w:jc w:val="center"/>
              <w:rPr>
                <w:rFonts w:ascii="Times New Roman" w:hAnsi="Times New Roman"/>
              </w:rPr>
            </w:pPr>
            <w:r>
              <w:rPr>
                <w:rFonts w:ascii="Times New Roman" w:hAnsi="Times New Roman"/>
              </w:rPr>
              <w:t xml:space="preserve">  婴儿利什曼原虫</w:t>
            </w:r>
          </w:p>
        </w:tc>
        <w:tc>
          <w:tcPr>
            <w:tcW w:w="1359" w:type="dxa"/>
            <w:gridSpan w:val="2"/>
            <w:tcBorders>
              <w:top w:val="nil"/>
              <w:left w:val="nil"/>
              <w:bottom w:val="single" w:color="auto" w:sz="4" w:space="0"/>
              <w:right w:val="nil"/>
            </w:tcBorders>
            <w:vAlign w:val="center"/>
          </w:tcPr>
          <w:p w14:paraId="19C322FD">
            <w:pPr>
              <w:spacing w:line="360" w:lineRule="auto"/>
              <w:ind w:firstLine="210" w:firstLineChars="100"/>
              <w:jc w:val="center"/>
              <w:rPr>
                <w:rFonts w:ascii="Times New Roman" w:hAnsi="Times New Roman"/>
              </w:rPr>
            </w:pPr>
            <w:r>
              <w:rPr>
                <w:rFonts w:ascii="Times New Roman" w:hAnsi="Times New Roman"/>
              </w:rPr>
              <w:t>449</w:t>
            </w:r>
          </w:p>
        </w:tc>
        <w:tc>
          <w:tcPr>
            <w:tcW w:w="3613" w:type="dxa"/>
            <w:tcBorders>
              <w:top w:val="nil"/>
              <w:left w:val="nil"/>
              <w:bottom w:val="single" w:color="auto" w:sz="4" w:space="0"/>
              <w:right w:val="nil"/>
            </w:tcBorders>
            <w:vAlign w:val="center"/>
          </w:tcPr>
          <w:p w14:paraId="5720550F">
            <w:pPr>
              <w:spacing w:line="360" w:lineRule="auto"/>
              <w:ind w:firstLine="420" w:firstLineChars="200"/>
              <w:jc w:val="center"/>
              <w:rPr>
                <w:rFonts w:ascii="Times New Roman" w:hAnsi="Times New Roman"/>
              </w:rPr>
            </w:pPr>
            <w:r>
              <w:rPr>
                <w:rFonts w:ascii="Times New Roman" w:hAnsi="Times New Roman"/>
              </w:rPr>
              <w:t>MN688120- MN688124</w:t>
            </w:r>
          </w:p>
        </w:tc>
      </w:tr>
    </w:tbl>
    <w:p w14:paraId="68B14963">
      <w:pPr>
        <w:pStyle w:val="56"/>
        <w:ind w:firstLine="420"/>
      </w:pPr>
    </w:p>
    <w:p w14:paraId="7B1F4466">
      <w:pPr>
        <w:pStyle w:val="56"/>
        <w:ind w:firstLine="420"/>
      </w:pPr>
    </w:p>
    <w:p w14:paraId="2C3234AD">
      <w:pPr>
        <w:pStyle w:val="56"/>
        <w:ind w:firstLine="420"/>
      </w:pPr>
    </w:p>
    <w:p w14:paraId="68A90FEE">
      <w:pPr>
        <w:pStyle w:val="56"/>
        <w:ind w:firstLine="420"/>
      </w:pPr>
    </w:p>
    <w:p w14:paraId="2E905885">
      <w:pPr>
        <w:pStyle w:val="56"/>
        <w:ind w:firstLine="420"/>
      </w:pPr>
    </w:p>
    <w:p w14:paraId="609E9A61">
      <w:pPr>
        <w:pStyle w:val="56"/>
        <w:ind w:firstLine="420"/>
      </w:pPr>
    </w:p>
    <w:p w14:paraId="1AE4F432">
      <w:pPr>
        <w:pStyle w:val="56"/>
        <w:ind w:firstLine="420"/>
      </w:pPr>
    </w:p>
    <w:p w14:paraId="2EDCA7A6">
      <w:pPr>
        <w:pStyle w:val="56"/>
        <w:ind w:firstLine="420"/>
      </w:pPr>
    </w:p>
    <w:p w14:paraId="63702666">
      <w:pPr>
        <w:pStyle w:val="56"/>
        <w:ind w:firstLine="420"/>
      </w:pPr>
    </w:p>
    <w:p w14:paraId="436C6D8C">
      <w:pPr>
        <w:pStyle w:val="56"/>
        <w:ind w:firstLine="420"/>
      </w:pPr>
    </w:p>
    <w:p w14:paraId="4CD91FC4">
      <w:pPr>
        <w:pStyle w:val="56"/>
        <w:ind w:firstLine="420"/>
      </w:pPr>
    </w:p>
    <w:p w14:paraId="4C264471">
      <w:pPr>
        <w:pStyle w:val="56"/>
        <w:ind w:firstLine="420"/>
      </w:pPr>
    </w:p>
    <w:p w14:paraId="0031C7B5">
      <w:pPr>
        <w:pStyle w:val="56"/>
        <w:ind w:firstLine="420"/>
      </w:pPr>
    </w:p>
    <w:p w14:paraId="7050787D">
      <w:pPr>
        <w:pStyle w:val="56"/>
        <w:ind w:firstLine="420"/>
        <w:rPr>
          <w:rFonts w:ascii="Times New Roman"/>
        </w:rPr>
      </w:pPr>
    </w:p>
    <w:p w14:paraId="053ECE7F">
      <w:pPr>
        <w:pStyle w:val="56"/>
        <w:ind w:firstLine="420"/>
        <w:rPr>
          <w:rFonts w:ascii="Times New Roman"/>
        </w:rPr>
      </w:pPr>
    </w:p>
    <w:p w14:paraId="09DA348F">
      <w:pPr>
        <w:pStyle w:val="56"/>
        <w:ind w:firstLine="420"/>
        <w:rPr>
          <w:rFonts w:ascii="Times New Roman"/>
        </w:rPr>
      </w:pPr>
    </w:p>
    <w:p w14:paraId="37BB413D">
      <w:pPr>
        <w:pStyle w:val="56"/>
        <w:ind w:firstLine="420"/>
        <w:rPr>
          <w:rFonts w:ascii="Times New Roman"/>
        </w:rPr>
      </w:pPr>
    </w:p>
    <w:p w14:paraId="2930868F">
      <w:pPr>
        <w:pStyle w:val="56"/>
        <w:ind w:firstLine="420"/>
        <w:rPr>
          <w:rFonts w:ascii="Times New Roman"/>
        </w:rPr>
      </w:pPr>
    </w:p>
    <w:p w14:paraId="1BDE9105">
      <w:pPr>
        <w:pStyle w:val="56"/>
        <w:ind w:firstLine="420"/>
        <w:rPr>
          <w:rFonts w:ascii="Times New Roman"/>
        </w:rPr>
      </w:pPr>
    </w:p>
    <w:p w14:paraId="2386B785">
      <w:pPr>
        <w:pStyle w:val="56"/>
        <w:ind w:firstLine="420"/>
        <w:rPr>
          <w:rFonts w:ascii="Times New Roman"/>
        </w:rPr>
      </w:pPr>
    </w:p>
    <w:p w14:paraId="72DC782C">
      <w:pPr>
        <w:pStyle w:val="56"/>
        <w:ind w:firstLine="420"/>
        <w:rPr>
          <w:rFonts w:ascii="Times New Roman"/>
        </w:rPr>
      </w:pPr>
    </w:p>
    <w:p w14:paraId="2CF948D8">
      <w:pPr>
        <w:pStyle w:val="56"/>
        <w:ind w:firstLine="420"/>
        <w:rPr>
          <w:rFonts w:ascii="Times New Roman"/>
        </w:rPr>
      </w:pPr>
    </w:p>
    <w:p w14:paraId="126FC153">
      <w:pPr>
        <w:pStyle w:val="56"/>
        <w:ind w:firstLine="420"/>
        <w:rPr>
          <w:rFonts w:ascii="Times New Roman"/>
        </w:rPr>
      </w:pPr>
    </w:p>
    <w:p w14:paraId="6F8B4B68">
      <w:pPr>
        <w:pStyle w:val="56"/>
        <w:ind w:firstLine="420"/>
        <w:rPr>
          <w:rFonts w:ascii="Times New Roman"/>
        </w:rPr>
      </w:pPr>
    </w:p>
    <w:p w14:paraId="587533A1">
      <w:pPr>
        <w:pStyle w:val="56"/>
        <w:ind w:firstLine="420"/>
        <w:rPr>
          <w:rFonts w:ascii="Times New Roman"/>
        </w:rPr>
      </w:pPr>
    </w:p>
    <w:p w14:paraId="09F55E79">
      <w:pPr>
        <w:pStyle w:val="56"/>
        <w:ind w:firstLine="420"/>
        <w:rPr>
          <w:rFonts w:ascii="Times New Roman"/>
        </w:rPr>
      </w:pPr>
    </w:p>
    <w:p w14:paraId="2A037231">
      <w:pPr>
        <w:pStyle w:val="56"/>
        <w:ind w:firstLine="420"/>
        <w:rPr>
          <w:rFonts w:ascii="Times New Roman"/>
        </w:rPr>
      </w:pPr>
    </w:p>
    <w:p w14:paraId="0838C88F">
      <w:pPr>
        <w:pStyle w:val="56"/>
        <w:ind w:firstLine="420"/>
        <w:rPr>
          <w:rFonts w:ascii="Times New Roman"/>
        </w:rPr>
      </w:pPr>
    </w:p>
    <w:p w14:paraId="153ED077">
      <w:pPr>
        <w:pStyle w:val="56"/>
        <w:ind w:firstLine="420"/>
        <w:rPr>
          <w:rFonts w:ascii="Times New Roman"/>
        </w:rPr>
      </w:pPr>
    </w:p>
    <w:p w14:paraId="03DD9FB9">
      <w:pPr>
        <w:pStyle w:val="56"/>
        <w:ind w:firstLine="420"/>
        <w:rPr>
          <w:rFonts w:ascii="Times New Roman"/>
        </w:rPr>
      </w:pPr>
    </w:p>
    <w:p w14:paraId="1E7CD83E">
      <w:pPr>
        <w:pStyle w:val="56"/>
        <w:ind w:firstLine="420"/>
        <w:rPr>
          <w:rFonts w:ascii="Times New Roman"/>
        </w:rPr>
      </w:pPr>
    </w:p>
    <w:p w14:paraId="5912CE47">
      <w:pPr>
        <w:pStyle w:val="56"/>
        <w:ind w:firstLine="420"/>
        <w:rPr>
          <w:rFonts w:ascii="Times New Roman"/>
        </w:rPr>
      </w:pPr>
    </w:p>
    <w:p w14:paraId="7ECC1366">
      <w:pPr>
        <w:pStyle w:val="56"/>
        <w:ind w:firstLine="420"/>
        <w:rPr>
          <w:rFonts w:ascii="Times New Roman"/>
        </w:rPr>
      </w:pPr>
    </w:p>
    <w:p w14:paraId="3DD5BD8A">
      <w:pPr>
        <w:pStyle w:val="56"/>
        <w:ind w:firstLine="420"/>
        <w:rPr>
          <w:rFonts w:ascii="Times New Roman"/>
        </w:rPr>
      </w:pPr>
    </w:p>
    <w:p w14:paraId="04687159">
      <w:pPr>
        <w:pStyle w:val="56"/>
        <w:ind w:firstLine="420"/>
        <w:rPr>
          <w:rFonts w:ascii="Times New Roman"/>
        </w:rPr>
      </w:pPr>
    </w:p>
    <w:p w14:paraId="00023523">
      <w:pPr>
        <w:pStyle w:val="56"/>
        <w:ind w:firstLine="420"/>
        <w:rPr>
          <w:rFonts w:ascii="Times New Roman"/>
        </w:rPr>
      </w:pPr>
    </w:p>
    <w:p w14:paraId="56CA50DA">
      <w:pPr>
        <w:pStyle w:val="56"/>
        <w:ind w:firstLine="420"/>
        <w:rPr>
          <w:rFonts w:ascii="Times New Roman"/>
        </w:rPr>
      </w:pPr>
    </w:p>
    <w:p w14:paraId="1F7CA6BE">
      <w:pPr>
        <w:pStyle w:val="56"/>
        <w:ind w:firstLine="420"/>
        <w:rPr>
          <w:rFonts w:ascii="Times New Roman"/>
        </w:rPr>
      </w:pPr>
    </w:p>
    <w:p w14:paraId="7AEAE649">
      <w:pPr>
        <w:pStyle w:val="56"/>
        <w:ind w:firstLine="420"/>
        <w:rPr>
          <w:rFonts w:ascii="Times New Roman"/>
        </w:rPr>
      </w:pPr>
    </w:p>
    <w:p w14:paraId="64C8ADE4">
      <w:pPr>
        <w:pStyle w:val="56"/>
        <w:ind w:firstLine="420"/>
        <w:rPr>
          <w:rFonts w:ascii="Times New Roman"/>
        </w:rPr>
      </w:pPr>
    </w:p>
    <w:p w14:paraId="004F998D">
      <w:pPr>
        <w:pStyle w:val="56"/>
        <w:ind w:firstLine="420"/>
        <w:rPr>
          <w:rFonts w:ascii="Times New Roman"/>
        </w:rPr>
      </w:pPr>
    </w:p>
    <w:p w14:paraId="1E4CABCA">
      <w:pPr>
        <w:pStyle w:val="56"/>
        <w:ind w:firstLine="420"/>
        <w:rPr>
          <w:rFonts w:ascii="Times New Roman"/>
        </w:rPr>
      </w:pPr>
    </w:p>
    <w:bookmarkEnd w:id="64"/>
    <w:p w14:paraId="0883892F">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bookmarkStart w:id="71" w:name="BookMark6"/>
    </w:p>
    <w:p w14:paraId="5CF93A93">
      <w:pPr>
        <w:pStyle w:val="63"/>
        <w:spacing w:after="120"/>
      </w:pPr>
      <w:bookmarkStart w:id="72" w:name="_Toc212127197"/>
      <w:r>
        <w:rPr>
          <w:rFonts w:hint="eastAsia"/>
          <w:spacing w:val="105"/>
        </w:rPr>
        <w:t>参考文</w:t>
      </w:r>
      <w:r>
        <w:rPr>
          <w:rFonts w:hint="eastAsia"/>
        </w:rPr>
        <w:t>献</w:t>
      </w:r>
      <w:bookmarkEnd w:id="72"/>
    </w:p>
    <w:p w14:paraId="34951E37">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Technical report series the leishmaniases. WHO, Geneva, 1984.</w:t>
      </w:r>
    </w:p>
    <w:p w14:paraId="58A6DB0E">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Technical report series control of the leishmaniases. WHO, Geneva, 2010.</w:t>
      </w:r>
    </w:p>
    <w:p w14:paraId="3F849BBD">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苏川，刘文琪. 人体寄生虫学.第10版. 北京：人民卫生出版社，2024：39-40.</w:t>
      </w:r>
    </w:p>
    <w:p w14:paraId="07131140">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刘剑君，魏强. 病原微生物保藏鉴定技术，北京：清华大学出版社，2023：465-467.</w:t>
      </w:r>
    </w:p>
    <w:p w14:paraId="33713158">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刘建秀，高春花，杨玥涛，等. 利什曼原虫K26序列应用于我国利什曼原虫分离株鉴定的价值分析[J]. 中国寄生虫学与寄生虫病杂志，2020，38（2）：181-187.</w:t>
      </w:r>
    </w:p>
    <w:p w14:paraId="78EE1A95">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张仁刚，张洁，敬保迁. 不同株利什曼原虫对Balb/c小鼠和金黄地鼠的致病性研究[J].四川动物，2009，28（2）：202-205.</w:t>
      </w:r>
    </w:p>
    <w:p w14:paraId="2CB78655">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杨慧军，孙军玲，郑灿军，等. 2017—2021年全国内脏利什曼病流行特征分析[J].</w:t>
      </w:r>
      <w:r>
        <w:rPr>
          <w:rFonts w:ascii="Times New Roman" w:hAnsi="Times New Roman"/>
          <w:kern w:val="0"/>
          <w:sz w:val="18"/>
          <w:szCs w:val="18"/>
        </w:rPr>
        <w:t xml:space="preserve"> </w:t>
      </w:r>
      <w:r>
        <w:rPr>
          <w:rFonts w:ascii="Times New Roman" w:hAnsi="Times New Roman"/>
          <w:kern w:val="0"/>
        </w:rPr>
        <w:t>疾病监测，2023，38（6）：676-681.</w:t>
      </w:r>
    </w:p>
    <w:p w14:paraId="23242BF2">
      <w:pPr>
        <w:widowControl/>
        <w:numPr>
          <w:ilvl w:val="0"/>
          <w:numId w:val="32"/>
        </w:numPr>
        <w:autoSpaceDE w:val="0"/>
        <w:autoSpaceDN w:val="0"/>
        <w:adjustRightInd/>
        <w:spacing w:line="240" w:lineRule="auto"/>
        <w:rPr>
          <w:rFonts w:ascii="Times New Roman" w:hAnsi="Times New Roman"/>
          <w:kern w:val="0"/>
        </w:rPr>
      </w:pPr>
      <w:r>
        <w:rPr>
          <w:rFonts w:ascii="Times New Roman" w:hAnsi="Times New Roman"/>
          <w:kern w:val="0"/>
        </w:rPr>
        <w:t>周正斌，李元元，李中秋，等. 2023年我国内脏利什曼病疫情分析[J]. 中国寄生虫学与寄生虫病杂志，2024，42（5）：559-565.</w:t>
      </w:r>
    </w:p>
    <w:p w14:paraId="5EA2C40A">
      <w:pPr>
        <w:pStyle w:val="56"/>
        <w:ind w:firstLine="420"/>
      </w:pPr>
    </w:p>
    <w:p w14:paraId="7EDA20DD">
      <w:pPr>
        <w:pStyle w:val="56"/>
        <w:ind w:firstLine="420"/>
      </w:pPr>
    </w:p>
    <w:p w14:paraId="297C0DC5">
      <w:pPr>
        <w:pStyle w:val="56"/>
        <w:ind w:firstLine="420"/>
      </w:pPr>
    </w:p>
    <w:p w14:paraId="7A015856">
      <w:pPr>
        <w:pStyle w:val="56"/>
        <w:ind w:firstLine="420"/>
        <w:rPr>
          <w:rFonts w:ascii="Times New Roman"/>
        </w:rPr>
      </w:pPr>
    </w:p>
    <w:bookmarkEnd w:id="71"/>
    <w:p w14:paraId="30476813">
      <w:pPr>
        <w:pStyle w:val="56"/>
        <w:ind w:firstLine="420"/>
        <w:rPr>
          <w:rFonts w:ascii="Times New Roman"/>
        </w:rP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9ABA1">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5A5C3">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A3EC8">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52BC8">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EB9EF">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65D0">
    <w:pPr>
      <w:pStyle w:val="61"/>
    </w:pPr>
    <w:r>
      <w:fldChar w:fldCharType="begin"/>
    </w:r>
    <w:r>
      <w:instrText xml:space="preserve"> STYLEREF  标准文件_文件编号  \* MERGEFORMAT </w:instrText>
    </w:r>
    <w:r>
      <w:fldChar w:fldCharType="separate"/>
    </w:r>
    <w:r>
      <w:t>T/XXX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DEE9A">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7CA2A9E"/>
    <w:multiLevelType w:val="multilevel"/>
    <w:tmpl w:val="57CA2A9E"/>
    <w:lvl w:ilvl="0" w:tentative="0">
      <w:start w:val="1"/>
      <w:numFmt w:val="decimal"/>
      <w:lvlText w:val="%1."/>
      <w:lvlJc w:val="left"/>
      <w:pPr>
        <w:ind w:left="840" w:hanging="420"/>
      </w:pPr>
      <w:rPr>
        <w:rFonts w:hint="eastAsia" w:ascii="宋体" w:hAnsi="宋体" w:eastAsia="宋体"/>
      </w:rPr>
    </w:lvl>
    <w:lvl w:ilvl="1" w:tentative="0">
      <w:start w:val="1"/>
      <w:numFmt w:val="lowerLetter"/>
      <w:lvlText w:val="%2)"/>
      <w:lvlJc w:val="left"/>
      <w:pPr>
        <w:ind w:left="1260" w:hanging="420"/>
      </w:pPr>
      <w:rPr>
        <w:rFonts w:hint="default" w:ascii="Times New Roman" w:hAnsi="Times New Roman" w:cs="Times New Roman"/>
      </w:rPr>
    </w:lvl>
    <w:lvl w:ilvl="2" w:tentative="0">
      <w:start w:val="1"/>
      <w:numFmt w:val="lowerRoman"/>
      <w:lvlText w:val="%3."/>
      <w:lvlJc w:val="right"/>
      <w:pPr>
        <w:ind w:left="1680" w:hanging="420"/>
      </w:pPr>
      <w:rPr>
        <w:rFonts w:hint="default" w:ascii="Times New Roman" w:hAnsi="Times New Roman" w:cs="Times New Roman"/>
      </w:rPr>
    </w:lvl>
    <w:lvl w:ilvl="3" w:tentative="0">
      <w:start w:val="1"/>
      <w:numFmt w:val="decimal"/>
      <w:lvlText w:val="%4."/>
      <w:lvlJc w:val="left"/>
      <w:pPr>
        <w:ind w:left="2100" w:hanging="420"/>
      </w:pPr>
      <w:rPr>
        <w:rFonts w:hint="default" w:ascii="Times New Roman" w:hAnsi="Times New Roman" w:cs="Times New Roman"/>
      </w:rPr>
    </w:lvl>
    <w:lvl w:ilvl="4" w:tentative="0">
      <w:start w:val="1"/>
      <w:numFmt w:val="lowerLetter"/>
      <w:lvlText w:val="%5)"/>
      <w:lvlJc w:val="left"/>
      <w:pPr>
        <w:ind w:left="2520" w:hanging="420"/>
      </w:pPr>
      <w:rPr>
        <w:rFonts w:hint="default" w:ascii="Times New Roman" w:hAnsi="Times New Roman" w:cs="Times New Roman"/>
      </w:rPr>
    </w:lvl>
    <w:lvl w:ilvl="5" w:tentative="0">
      <w:start w:val="1"/>
      <w:numFmt w:val="lowerRoman"/>
      <w:lvlText w:val="%6."/>
      <w:lvlJc w:val="right"/>
      <w:pPr>
        <w:ind w:left="2940" w:hanging="420"/>
      </w:pPr>
      <w:rPr>
        <w:rFonts w:hint="default" w:ascii="Times New Roman" w:hAnsi="Times New Roman" w:cs="Times New Roman"/>
      </w:rPr>
    </w:lvl>
    <w:lvl w:ilvl="6" w:tentative="0">
      <w:start w:val="1"/>
      <w:numFmt w:val="decimal"/>
      <w:lvlText w:val="%7."/>
      <w:lvlJc w:val="left"/>
      <w:pPr>
        <w:ind w:left="3360" w:hanging="420"/>
      </w:pPr>
      <w:rPr>
        <w:rFonts w:hint="default" w:ascii="Times New Roman" w:hAnsi="Times New Roman" w:cs="Times New Roman"/>
      </w:rPr>
    </w:lvl>
    <w:lvl w:ilvl="7" w:tentative="0">
      <w:start w:val="1"/>
      <w:numFmt w:val="lowerLetter"/>
      <w:lvlText w:val="%8)"/>
      <w:lvlJc w:val="left"/>
      <w:pPr>
        <w:ind w:left="3780" w:hanging="420"/>
      </w:pPr>
      <w:rPr>
        <w:rFonts w:hint="default" w:ascii="Times New Roman" w:hAnsi="Times New Roman" w:cs="Times New Roman"/>
      </w:rPr>
    </w:lvl>
    <w:lvl w:ilvl="8" w:tentative="0">
      <w:start w:val="1"/>
      <w:numFmt w:val="lowerRoman"/>
      <w:lvlText w:val="%9."/>
      <w:lvlJc w:val="right"/>
      <w:pPr>
        <w:ind w:left="4200" w:hanging="420"/>
      </w:pPr>
      <w:rPr>
        <w:rFonts w:hint="default" w:ascii="Times New Roman" w:hAnsi="Times New Roman" w:cs="Times New Roman"/>
      </w:r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709"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1651" w:hanging="374"/>
      </w:pPr>
      <w:rPr>
        <w:rFonts w:hint="eastAsia" w:ascii="黑体" w:eastAsia="黑体"/>
        <w:b w:val="0"/>
        <w:i w:val="0"/>
        <w:sz w:val="18"/>
      </w:rPr>
    </w:lvl>
    <w:lvl w:ilvl="1" w:tentative="0">
      <w:start w:val="1"/>
      <w:numFmt w:val="lowerLetter"/>
      <w:lvlText w:val="%2)"/>
      <w:lvlJc w:val="left"/>
      <w:pPr>
        <w:tabs>
          <w:tab w:val="left" w:pos="2054"/>
        </w:tabs>
        <w:ind w:left="1640" w:hanging="363"/>
      </w:pPr>
      <w:rPr>
        <w:rFonts w:hint="eastAsia"/>
      </w:rPr>
    </w:lvl>
    <w:lvl w:ilvl="2" w:tentative="0">
      <w:start w:val="1"/>
      <w:numFmt w:val="lowerRoman"/>
      <w:lvlText w:val="%3."/>
      <w:lvlJc w:val="right"/>
      <w:pPr>
        <w:tabs>
          <w:tab w:val="left" w:pos="2054"/>
        </w:tabs>
        <w:ind w:left="1640" w:hanging="363"/>
      </w:pPr>
      <w:rPr>
        <w:rFonts w:hint="eastAsia"/>
      </w:rPr>
    </w:lvl>
    <w:lvl w:ilvl="3" w:tentative="0">
      <w:start w:val="1"/>
      <w:numFmt w:val="decimal"/>
      <w:lvlText w:val="%4."/>
      <w:lvlJc w:val="left"/>
      <w:pPr>
        <w:tabs>
          <w:tab w:val="left" w:pos="2054"/>
        </w:tabs>
        <w:ind w:left="1640" w:hanging="363"/>
      </w:pPr>
      <w:rPr>
        <w:rFonts w:hint="eastAsia"/>
      </w:rPr>
    </w:lvl>
    <w:lvl w:ilvl="4" w:tentative="0">
      <w:start w:val="1"/>
      <w:numFmt w:val="lowerLetter"/>
      <w:lvlText w:val="%5)"/>
      <w:lvlJc w:val="left"/>
      <w:pPr>
        <w:tabs>
          <w:tab w:val="left" w:pos="2054"/>
        </w:tabs>
        <w:ind w:left="1640" w:hanging="363"/>
      </w:pPr>
      <w:rPr>
        <w:rFonts w:hint="eastAsia"/>
      </w:rPr>
    </w:lvl>
    <w:lvl w:ilvl="5" w:tentative="0">
      <w:start w:val="1"/>
      <w:numFmt w:val="lowerRoman"/>
      <w:lvlText w:val="%6."/>
      <w:lvlJc w:val="right"/>
      <w:pPr>
        <w:tabs>
          <w:tab w:val="left" w:pos="2054"/>
        </w:tabs>
        <w:ind w:left="1640" w:hanging="363"/>
      </w:pPr>
      <w:rPr>
        <w:rFonts w:hint="eastAsia"/>
      </w:rPr>
    </w:lvl>
    <w:lvl w:ilvl="6" w:tentative="0">
      <w:start w:val="1"/>
      <w:numFmt w:val="decimal"/>
      <w:lvlText w:val="%7."/>
      <w:lvlJc w:val="left"/>
      <w:pPr>
        <w:tabs>
          <w:tab w:val="left" w:pos="2054"/>
        </w:tabs>
        <w:ind w:left="1640" w:hanging="363"/>
      </w:pPr>
      <w:rPr>
        <w:rFonts w:hint="eastAsia"/>
      </w:rPr>
    </w:lvl>
    <w:lvl w:ilvl="7" w:tentative="0">
      <w:start w:val="1"/>
      <w:numFmt w:val="lowerLetter"/>
      <w:lvlText w:val="%8)"/>
      <w:lvlJc w:val="left"/>
      <w:pPr>
        <w:tabs>
          <w:tab w:val="left" w:pos="2054"/>
        </w:tabs>
        <w:ind w:left="1640" w:hanging="363"/>
      </w:pPr>
      <w:rPr>
        <w:rFonts w:hint="eastAsia"/>
      </w:rPr>
    </w:lvl>
    <w:lvl w:ilvl="8" w:tentative="0">
      <w:start w:val="1"/>
      <w:numFmt w:val="lowerRoman"/>
      <w:lvlText w:val="%9."/>
      <w:lvlJc w:val="right"/>
      <w:pPr>
        <w:tabs>
          <w:tab w:val="left" w:pos="2054"/>
        </w:tabs>
        <w:ind w:left="1640"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Full" w:cryptAlgorithmClass="hash" w:cryptAlgorithmType="typeAny" w:cryptAlgorithmSid="4" w:cryptSpinCount="100000" w:hash="QjcY3KP88H03v7YRq4nG9sdwz6A=" w:salt="G/lv8E0VRdzVL0GAAw8kM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D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3742"/>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892"/>
    <w:rsid w:val="000C2FBD"/>
    <w:rsid w:val="000C4B41"/>
    <w:rsid w:val="000C57D6"/>
    <w:rsid w:val="000C6362"/>
    <w:rsid w:val="000C7666"/>
    <w:rsid w:val="000D0A9C"/>
    <w:rsid w:val="000D1795"/>
    <w:rsid w:val="000D329A"/>
    <w:rsid w:val="000D4B9C"/>
    <w:rsid w:val="000D4EB6"/>
    <w:rsid w:val="000D753B"/>
    <w:rsid w:val="000E4C9E"/>
    <w:rsid w:val="000E5DF1"/>
    <w:rsid w:val="000E6FD7"/>
    <w:rsid w:val="000E7144"/>
    <w:rsid w:val="000F06E1"/>
    <w:rsid w:val="000F0E3C"/>
    <w:rsid w:val="000F19D5"/>
    <w:rsid w:val="000F4050"/>
    <w:rsid w:val="000F4AEA"/>
    <w:rsid w:val="000F67E9"/>
    <w:rsid w:val="00104926"/>
    <w:rsid w:val="001124E5"/>
    <w:rsid w:val="00113B1E"/>
    <w:rsid w:val="0011695B"/>
    <w:rsid w:val="0011711C"/>
    <w:rsid w:val="00124E4F"/>
    <w:rsid w:val="001260B7"/>
    <w:rsid w:val="001265CB"/>
    <w:rsid w:val="001321C6"/>
    <w:rsid w:val="001325C4"/>
    <w:rsid w:val="00133010"/>
    <w:rsid w:val="001333F0"/>
    <w:rsid w:val="001338EE"/>
    <w:rsid w:val="00133AAE"/>
    <w:rsid w:val="00135323"/>
    <w:rsid w:val="001356C4"/>
    <w:rsid w:val="00137565"/>
    <w:rsid w:val="00140913"/>
    <w:rsid w:val="00141114"/>
    <w:rsid w:val="00142969"/>
    <w:rsid w:val="00143419"/>
    <w:rsid w:val="001446C2"/>
    <w:rsid w:val="001457E7"/>
    <w:rsid w:val="00145D9D"/>
    <w:rsid w:val="00146388"/>
    <w:rsid w:val="00146D3C"/>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5903"/>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6FD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504"/>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235"/>
    <w:rsid w:val="00243540"/>
    <w:rsid w:val="0024497B"/>
    <w:rsid w:val="0024515B"/>
    <w:rsid w:val="00246021"/>
    <w:rsid w:val="0024666E"/>
    <w:rsid w:val="00246A48"/>
    <w:rsid w:val="00247F52"/>
    <w:rsid w:val="00250B25"/>
    <w:rsid w:val="00250BBE"/>
    <w:rsid w:val="002515C2"/>
    <w:rsid w:val="0025194F"/>
    <w:rsid w:val="00256C82"/>
    <w:rsid w:val="0026148A"/>
    <w:rsid w:val="00262696"/>
    <w:rsid w:val="00263D25"/>
    <w:rsid w:val="002643C3"/>
    <w:rsid w:val="00264A0C"/>
    <w:rsid w:val="00266EEB"/>
    <w:rsid w:val="00267EF4"/>
    <w:rsid w:val="00270CB8"/>
    <w:rsid w:val="0027287D"/>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AF3"/>
    <w:rsid w:val="002C5278"/>
    <w:rsid w:val="002C5D41"/>
    <w:rsid w:val="002C7EBB"/>
    <w:rsid w:val="002D06C1"/>
    <w:rsid w:val="002D0DAA"/>
    <w:rsid w:val="002D42B5"/>
    <w:rsid w:val="002D4F1A"/>
    <w:rsid w:val="002D6EC6"/>
    <w:rsid w:val="002D79AC"/>
    <w:rsid w:val="002E039D"/>
    <w:rsid w:val="002E4D5A"/>
    <w:rsid w:val="002E6326"/>
    <w:rsid w:val="002F30E0"/>
    <w:rsid w:val="002F35E4"/>
    <w:rsid w:val="002F3730"/>
    <w:rsid w:val="002F38E1"/>
    <w:rsid w:val="002F3C0E"/>
    <w:rsid w:val="002F7AF6"/>
    <w:rsid w:val="00300E63"/>
    <w:rsid w:val="00302F5F"/>
    <w:rsid w:val="0030441D"/>
    <w:rsid w:val="00306063"/>
    <w:rsid w:val="00311B4E"/>
    <w:rsid w:val="00313B85"/>
    <w:rsid w:val="00317988"/>
    <w:rsid w:val="00317ED7"/>
    <w:rsid w:val="00320C3C"/>
    <w:rsid w:val="003221B4"/>
    <w:rsid w:val="0032258D"/>
    <w:rsid w:val="00322E62"/>
    <w:rsid w:val="00324D13"/>
    <w:rsid w:val="00324EDD"/>
    <w:rsid w:val="0032732F"/>
    <w:rsid w:val="003331E4"/>
    <w:rsid w:val="00336C64"/>
    <w:rsid w:val="00337162"/>
    <w:rsid w:val="003418AB"/>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77441"/>
    <w:rsid w:val="00381815"/>
    <w:rsid w:val="003819AF"/>
    <w:rsid w:val="003820E9"/>
    <w:rsid w:val="00382DE7"/>
    <w:rsid w:val="00384B25"/>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23BF"/>
    <w:rsid w:val="003B5BF0"/>
    <w:rsid w:val="003B60BF"/>
    <w:rsid w:val="003B6BE3"/>
    <w:rsid w:val="003C010C"/>
    <w:rsid w:val="003C0A6C"/>
    <w:rsid w:val="003C14F8"/>
    <w:rsid w:val="003C4ECC"/>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55E"/>
    <w:rsid w:val="00404869"/>
    <w:rsid w:val="00405884"/>
    <w:rsid w:val="00407D39"/>
    <w:rsid w:val="0041477A"/>
    <w:rsid w:val="004167A3"/>
    <w:rsid w:val="00432DAA"/>
    <w:rsid w:val="00433AD3"/>
    <w:rsid w:val="00434305"/>
    <w:rsid w:val="00435DF7"/>
    <w:rsid w:val="00436E80"/>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0E2"/>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1EC5"/>
    <w:rsid w:val="004D2253"/>
    <w:rsid w:val="004D4406"/>
    <w:rsid w:val="004D7C42"/>
    <w:rsid w:val="004E0465"/>
    <w:rsid w:val="004E127B"/>
    <w:rsid w:val="004E1C0A"/>
    <w:rsid w:val="004E30C5"/>
    <w:rsid w:val="004E335A"/>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CF9"/>
    <w:rsid w:val="00512F6E"/>
    <w:rsid w:val="00513038"/>
    <w:rsid w:val="00513E16"/>
    <w:rsid w:val="00514174"/>
    <w:rsid w:val="00516088"/>
    <w:rsid w:val="00516B0B"/>
    <w:rsid w:val="005220EC"/>
    <w:rsid w:val="00523F95"/>
    <w:rsid w:val="005240C2"/>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23D1"/>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2C7"/>
    <w:rsid w:val="005D6A95"/>
    <w:rsid w:val="005D6B2C"/>
    <w:rsid w:val="005D6D9C"/>
    <w:rsid w:val="005E1499"/>
    <w:rsid w:val="005E2335"/>
    <w:rsid w:val="005E34CA"/>
    <w:rsid w:val="005E3ADE"/>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EBA"/>
    <w:rsid w:val="006252D8"/>
    <w:rsid w:val="006259BC"/>
    <w:rsid w:val="0062636B"/>
    <w:rsid w:val="00632182"/>
    <w:rsid w:val="00632AE0"/>
    <w:rsid w:val="00633C17"/>
    <w:rsid w:val="00634D9E"/>
    <w:rsid w:val="00636E3E"/>
    <w:rsid w:val="006379F7"/>
    <w:rsid w:val="00637E4D"/>
    <w:rsid w:val="00640620"/>
    <w:rsid w:val="00641A1F"/>
    <w:rsid w:val="0064530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6EB"/>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733F"/>
    <w:rsid w:val="006B01F8"/>
    <w:rsid w:val="006B2672"/>
    <w:rsid w:val="006B54BF"/>
    <w:rsid w:val="006B5F44"/>
    <w:rsid w:val="006B5F90"/>
    <w:rsid w:val="006B62E4"/>
    <w:rsid w:val="006B71F2"/>
    <w:rsid w:val="006C1BBA"/>
    <w:rsid w:val="006C2079"/>
    <w:rsid w:val="006C5A62"/>
    <w:rsid w:val="006C5D68"/>
    <w:rsid w:val="006C6976"/>
    <w:rsid w:val="006C6DD0"/>
    <w:rsid w:val="006D04EA"/>
    <w:rsid w:val="006D16C4"/>
    <w:rsid w:val="006D3E96"/>
    <w:rsid w:val="006D4515"/>
    <w:rsid w:val="006D4BB1"/>
    <w:rsid w:val="006D6593"/>
    <w:rsid w:val="006F03A8"/>
    <w:rsid w:val="006F1E84"/>
    <w:rsid w:val="006F2ACA"/>
    <w:rsid w:val="006F2ADC"/>
    <w:rsid w:val="006F2BFE"/>
    <w:rsid w:val="006F31E9"/>
    <w:rsid w:val="006F6284"/>
    <w:rsid w:val="006F6489"/>
    <w:rsid w:val="007002C5"/>
    <w:rsid w:val="00703758"/>
    <w:rsid w:val="00704387"/>
    <w:rsid w:val="00707669"/>
    <w:rsid w:val="00711CBA"/>
    <w:rsid w:val="00711FB5"/>
    <w:rsid w:val="00712A01"/>
    <w:rsid w:val="00714245"/>
    <w:rsid w:val="00714F58"/>
    <w:rsid w:val="00722FBF"/>
    <w:rsid w:val="00722FC2"/>
    <w:rsid w:val="0072450A"/>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578"/>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6E34"/>
    <w:rsid w:val="007D06C4"/>
    <w:rsid w:val="007D1352"/>
    <w:rsid w:val="007D2508"/>
    <w:rsid w:val="007D346A"/>
    <w:rsid w:val="007D6518"/>
    <w:rsid w:val="007D65CE"/>
    <w:rsid w:val="007D76BD"/>
    <w:rsid w:val="007E0BF1"/>
    <w:rsid w:val="007E7F31"/>
    <w:rsid w:val="007F0ED8"/>
    <w:rsid w:val="007F0F63"/>
    <w:rsid w:val="007F75CE"/>
    <w:rsid w:val="008013A4"/>
    <w:rsid w:val="008027CE"/>
    <w:rsid w:val="00802F42"/>
    <w:rsid w:val="00804383"/>
    <w:rsid w:val="00804BB7"/>
    <w:rsid w:val="00804D41"/>
    <w:rsid w:val="00810257"/>
    <w:rsid w:val="008104F5"/>
    <w:rsid w:val="00811072"/>
    <w:rsid w:val="00811369"/>
    <w:rsid w:val="008127F1"/>
    <w:rsid w:val="00815419"/>
    <w:rsid w:val="008163C8"/>
    <w:rsid w:val="008164A1"/>
    <w:rsid w:val="00817325"/>
    <w:rsid w:val="008209E6"/>
    <w:rsid w:val="00821D19"/>
    <w:rsid w:val="00823303"/>
    <w:rsid w:val="008233B2"/>
    <w:rsid w:val="00823A9F"/>
    <w:rsid w:val="00823C85"/>
    <w:rsid w:val="00825138"/>
    <w:rsid w:val="00825A25"/>
    <w:rsid w:val="008269DD"/>
    <w:rsid w:val="00830621"/>
    <w:rsid w:val="0083348C"/>
    <w:rsid w:val="008373D3"/>
    <w:rsid w:val="00840617"/>
    <w:rsid w:val="00840F84"/>
    <w:rsid w:val="00842A47"/>
    <w:rsid w:val="00843C13"/>
    <w:rsid w:val="00843DEF"/>
    <w:rsid w:val="008454F8"/>
    <w:rsid w:val="0085173A"/>
    <w:rsid w:val="008603CE"/>
    <w:rsid w:val="00861670"/>
    <w:rsid w:val="008620FC"/>
    <w:rsid w:val="008627A5"/>
    <w:rsid w:val="00863E05"/>
    <w:rsid w:val="00865ACA"/>
    <w:rsid w:val="00865D28"/>
    <w:rsid w:val="00865F85"/>
    <w:rsid w:val="008673C2"/>
    <w:rsid w:val="00867C10"/>
    <w:rsid w:val="00870439"/>
    <w:rsid w:val="00870DA1"/>
    <w:rsid w:val="00873216"/>
    <w:rsid w:val="00883F93"/>
    <w:rsid w:val="00884DB3"/>
    <w:rsid w:val="00885A9D"/>
    <w:rsid w:val="008864F6"/>
    <w:rsid w:val="008869F2"/>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B7F88"/>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0F8C"/>
    <w:rsid w:val="008F17A3"/>
    <w:rsid w:val="008F1ED3"/>
    <w:rsid w:val="008F4C29"/>
    <w:rsid w:val="008F70BD"/>
    <w:rsid w:val="008F788F"/>
    <w:rsid w:val="008F7EA2"/>
    <w:rsid w:val="00902722"/>
    <w:rsid w:val="009027BC"/>
    <w:rsid w:val="009062E6"/>
    <w:rsid w:val="00911BE5"/>
    <w:rsid w:val="009138CA"/>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4AC"/>
    <w:rsid w:val="009A089C"/>
    <w:rsid w:val="009A118E"/>
    <w:rsid w:val="009A21CD"/>
    <w:rsid w:val="009A278C"/>
    <w:rsid w:val="009A2BC2"/>
    <w:rsid w:val="009A3A28"/>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3A9"/>
    <w:rsid w:val="009E4A58"/>
    <w:rsid w:val="009E5A2D"/>
    <w:rsid w:val="009E5AB2"/>
    <w:rsid w:val="009E6219"/>
    <w:rsid w:val="009F03B3"/>
    <w:rsid w:val="009F3D02"/>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966"/>
    <w:rsid w:val="00A237D5"/>
    <w:rsid w:val="00A27B50"/>
    <w:rsid w:val="00A3068A"/>
    <w:rsid w:val="00A30EFC"/>
    <w:rsid w:val="00A31984"/>
    <w:rsid w:val="00A32D73"/>
    <w:rsid w:val="00A3367B"/>
    <w:rsid w:val="00A33C67"/>
    <w:rsid w:val="00A3597D"/>
    <w:rsid w:val="00A36DD1"/>
    <w:rsid w:val="00A4006C"/>
    <w:rsid w:val="00A40091"/>
    <w:rsid w:val="00A4030F"/>
    <w:rsid w:val="00A41C79"/>
    <w:rsid w:val="00A41CB5"/>
    <w:rsid w:val="00A42178"/>
    <w:rsid w:val="00A42CDF"/>
    <w:rsid w:val="00A4452E"/>
    <w:rsid w:val="00A4472C"/>
    <w:rsid w:val="00A44E69"/>
    <w:rsid w:val="00A45EC9"/>
    <w:rsid w:val="00A4661E"/>
    <w:rsid w:val="00A55BD6"/>
    <w:rsid w:val="00A55D50"/>
    <w:rsid w:val="00A57142"/>
    <w:rsid w:val="00A648CD"/>
    <w:rsid w:val="00A6537A"/>
    <w:rsid w:val="00A67866"/>
    <w:rsid w:val="00A70B07"/>
    <w:rsid w:val="00A723F8"/>
    <w:rsid w:val="00A77CCB"/>
    <w:rsid w:val="00A824CB"/>
    <w:rsid w:val="00A83D8D"/>
    <w:rsid w:val="00A8446B"/>
    <w:rsid w:val="00A8473F"/>
    <w:rsid w:val="00A862D6"/>
    <w:rsid w:val="00A86655"/>
    <w:rsid w:val="00A8715E"/>
    <w:rsid w:val="00A9295B"/>
    <w:rsid w:val="00A93B09"/>
    <w:rsid w:val="00A952D7"/>
    <w:rsid w:val="00A963F7"/>
    <w:rsid w:val="00A96AD8"/>
    <w:rsid w:val="00AA052C"/>
    <w:rsid w:val="00AA0606"/>
    <w:rsid w:val="00AA1E45"/>
    <w:rsid w:val="00AA4286"/>
    <w:rsid w:val="00AA456B"/>
    <w:rsid w:val="00AA531D"/>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2BC1"/>
    <w:rsid w:val="00B049AF"/>
    <w:rsid w:val="00B07242"/>
    <w:rsid w:val="00B10534"/>
    <w:rsid w:val="00B10E45"/>
    <w:rsid w:val="00B113DB"/>
    <w:rsid w:val="00B11D8A"/>
    <w:rsid w:val="00B12981"/>
    <w:rsid w:val="00B147DD"/>
    <w:rsid w:val="00B156FD"/>
    <w:rsid w:val="00B21F61"/>
    <w:rsid w:val="00B261F1"/>
    <w:rsid w:val="00B265BC"/>
    <w:rsid w:val="00B31FB1"/>
    <w:rsid w:val="00B32BB9"/>
    <w:rsid w:val="00B33227"/>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241"/>
    <w:rsid w:val="00B758BF"/>
    <w:rsid w:val="00B77EC8"/>
    <w:rsid w:val="00B82194"/>
    <w:rsid w:val="00B827A6"/>
    <w:rsid w:val="00B831CE"/>
    <w:rsid w:val="00B858B6"/>
    <w:rsid w:val="00B86677"/>
    <w:rsid w:val="00B87131"/>
    <w:rsid w:val="00B927F3"/>
    <w:rsid w:val="00B939B1"/>
    <w:rsid w:val="00B96D40"/>
    <w:rsid w:val="00B97386"/>
    <w:rsid w:val="00BA263B"/>
    <w:rsid w:val="00BA42B2"/>
    <w:rsid w:val="00BA58D4"/>
    <w:rsid w:val="00BA5B9E"/>
    <w:rsid w:val="00BA7C9A"/>
    <w:rsid w:val="00BB5F8F"/>
    <w:rsid w:val="00BB657A"/>
    <w:rsid w:val="00BC1A4E"/>
    <w:rsid w:val="00BC2626"/>
    <w:rsid w:val="00BC5DC7"/>
    <w:rsid w:val="00BC6B8B"/>
    <w:rsid w:val="00BC73D8"/>
    <w:rsid w:val="00BD52D7"/>
    <w:rsid w:val="00BD5AD2"/>
    <w:rsid w:val="00BE22F3"/>
    <w:rsid w:val="00BE2998"/>
    <w:rsid w:val="00BE5B52"/>
    <w:rsid w:val="00BE7B8D"/>
    <w:rsid w:val="00BF0993"/>
    <w:rsid w:val="00BF10A9"/>
    <w:rsid w:val="00BF1703"/>
    <w:rsid w:val="00BF231C"/>
    <w:rsid w:val="00BF51E5"/>
    <w:rsid w:val="00BF6AF8"/>
    <w:rsid w:val="00BF74A6"/>
    <w:rsid w:val="00C013AD"/>
    <w:rsid w:val="00C04904"/>
    <w:rsid w:val="00C056B3"/>
    <w:rsid w:val="00C103E5"/>
    <w:rsid w:val="00C12CA4"/>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71A"/>
    <w:rsid w:val="00C7287F"/>
    <w:rsid w:val="00C80CB8"/>
    <w:rsid w:val="00C819F8"/>
    <w:rsid w:val="00C8248C"/>
    <w:rsid w:val="00C84E33"/>
    <w:rsid w:val="00C86D6F"/>
    <w:rsid w:val="00C905FC"/>
    <w:rsid w:val="00C92D03"/>
    <w:rsid w:val="00C9319C"/>
    <w:rsid w:val="00C9435D"/>
    <w:rsid w:val="00C94DF2"/>
    <w:rsid w:val="00C96741"/>
    <w:rsid w:val="00CA0336"/>
    <w:rsid w:val="00CA2D1B"/>
    <w:rsid w:val="00CA375D"/>
    <w:rsid w:val="00CA662A"/>
    <w:rsid w:val="00CA6889"/>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2F0B"/>
    <w:rsid w:val="00CD3C14"/>
    <w:rsid w:val="00CD4092"/>
    <w:rsid w:val="00CD4A20"/>
    <w:rsid w:val="00CD50A1"/>
    <w:rsid w:val="00CD519E"/>
    <w:rsid w:val="00CE0C4F"/>
    <w:rsid w:val="00CE2ECA"/>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5EC8"/>
    <w:rsid w:val="00D466AE"/>
    <w:rsid w:val="00D4716F"/>
    <w:rsid w:val="00D4734F"/>
    <w:rsid w:val="00D51BF3"/>
    <w:rsid w:val="00D54E6A"/>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AC6"/>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BD"/>
    <w:rsid w:val="00E01138"/>
    <w:rsid w:val="00E02DFB"/>
    <w:rsid w:val="00E030F9"/>
    <w:rsid w:val="00E0311A"/>
    <w:rsid w:val="00E03138"/>
    <w:rsid w:val="00E06404"/>
    <w:rsid w:val="00E1046A"/>
    <w:rsid w:val="00E11A85"/>
    <w:rsid w:val="00E12191"/>
    <w:rsid w:val="00E12495"/>
    <w:rsid w:val="00E15CCD"/>
    <w:rsid w:val="00E202EF"/>
    <w:rsid w:val="00E210B5"/>
    <w:rsid w:val="00E22229"/>
    <w:rsid w:val="00E2552F"/>
    <w:rsid w:val="00E3137A"/>
    <w:rsid w:val="00E3287D"/>
    <w:rsid w:val="00E32CCF"/>
    <w:rsid w:val="00E34A98"/>
    <w:rsid w:val="00E35740"/>
    <w:rsid w:val="00E35D1E"/>
    <w:rsid w:val="00E364F9"/>
    <w:rsid w:val="00E365FA"/>
    <w:rsid w:val="00E36789"/>
    <w:rsid w:val="00E40146"/>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C76"/>
    <w:rsid w:val="00EB1E69"/>
    <w:rsid w:val="00EB2086"/>
    <w:rsid w:val="00EB31ED"/>
    <w:rsid w:val="00EB5EDF"/>
    <w:rsid w:val="00EB60FE"/>
    <w:rsid w:val="00EB74DB"/>
    <w:rsid w:val="00EC5359"/>
    <w:rsid w:val="00EC562A"/>
    <w:rsid w:val="00EC6F75"/>
    <w:rsid w:val="00ED067A"/>
    <w:rsid w:val="00ED2B50"/>
    <w:rsid w:val="00EE0350"/>
    <w:rsid w:val="00EE0719"/>
    <w:rsid w:val="00EE0E80"/>
    <w:rsid w:val="00EE613F"/>
    <w:rsid w:val="00EE7295"/>
    <w:rsid w:val="00EE7841"/>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1598"/>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02F6"/>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B98"/>
    <w:rsid w:val="00FE1FBE"/>
    <w:rsid w:val="00FE3901"/>
    <w:rsid w:val="00FE39D3"/>
    <w:rsid w:val="00FE4BCE"/>
    <w:rsid w:val="00FE54AE"/>
    <w:rsid w:val="00FE576A"/>
    <w:rsid w:val="00FE7E79"/>
    <w:rsid w:val="00FF3E7D"/>
    <w:rsid w:val="00FF5B99"/>
    <w:rsid w:val="00FF730C"/>
    <w:rsid w:val="00FF73F4"/>
    <w:rsid w:val="00FF7CE4"/>
    <w:rsid w:val="00FF7E39"/>
    <w:rsid w:val="03A260CB"/>
    <w:rsid w:val="1787048B"/>
    <w:rsid w:val="19106C67"/>
    <w:rsid w:val="1D102CD1"/>
    <w:rsid w:val="210E31F9"/>
    <w:rsid w:val="22F73B45"/>
    <w:rsid w:val="2A2B2EF8"/>
    <w:rsid w:val="2FC35981"/>
    <w:rsid w:val="38B26845"/>
    <w:rsid w:val="42A7059F"/>
    <w:rsid w:val="5D7F6ADB"/>
    <w:rsid w:val="618E3953"/>
    <w:rsid w:val="624D0F56"/>
    <w:rsid w:val="691C1682"/>
    <w:rsid w:val="6B7439F8"/>
    <w:rsid w:val="6E096679"/>
    <w:rsid w:val="6E103907"/>
    <w:rsid w:val="70EB2C71"/>
    <w:rsid w:val="7CAB4737"/>
    <w:rsid w:val="7EA3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Table Paragraph"/>
    <w:basedOn w:val="1"/>
    <w:qFormat/>
    <w:uiPriority w:val="1"/>
    <w:pPr>
      <w:autoSpaceDE w:val="0"/>
      <w:autoSpaceDN w:val="0"/>
      <w:adjustRightInd/>
      <w:spacing w:line="240" w:lineRule="auto"/>
      <w:jc w:val="center"/>
    </w:pPr>
    <w:rPr>
      <w:rFonts w:ascii="Arial" w:hAnsi="Arial" w:eastAsia="Arial" w:cs="Arial"/>
      <w:kern w:val="0"/>
      <w:sz w:val="22"/>
      <w:szCs w:val="22"/>
      <w:lang w:eastAsia="en-US" w:bidi="en-US"/>
    </w:rPr>
  </w:style>
  <w:style w:type="paragraph" w:customStyle="1" w:styleId="231">
    <w:name w:val="正文1"/>
    <w:qFormat/>
    <w:uiPriority w:val="0"/>
    <w:pPr>
      <w:jc w:val="both"/>
    </w:pPr>
    <w:rPr>
      <w:rFonts w:ascii="Calibri" w:hAnsi="Calibri" w:eastAsia="宋体" w:cs="Calibri"/>
      <w:kern w:val="2"/>
      <w:sz w:val="21"/>
      <w:szCs w:val="21"/>
      <w:lang w:val="en-US" w:eastAsia="zh-CN" w:bidi="ar-SA"/>
    </w:rPr>
  </w:style>
  <w:style w:type="table" w:customStyle="1" w:styleId="232">
    <w:name w:val="网格型1"/>
    <w:basedOn w:val="26"/>
    <w:uiPriority w:val="0"/>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5A9E7C2338D4E14A0C1D9F2626A2EB0"/>
        <w:style w:val=""/>
        <w:category>
          <w:name w:val="常规"/>
          <w:gallery w:val="placeholder"/>
        </w:category>
        <w:types>
          <w:type w:val="bbPlcHdr"/>
        </w:types>
        <w:behaviors>
          <w:behavior w:val="content"/>
        </w:behaviors>
        <w:description w:val=""/>
        <w:guid w:val="{71C6DD16-8EB0-4970-9E4A-275A768BD8A7}"/>
      </w:docPartPr>
      <w:docPartBody>
        <w:p w14:paraId="44EEE149">
          <w:pPr>
            <w:pStyle w:val="5"/>
          </w:pPr>
          <w:r>
            <w:rPr>
              <w:rStyle w:val="4"/>
              <w:rFonts w:hint="eastAsia"/>
            </w:rPr>
            <w:t>单击或点击此处输入文字。</w:t>
          </w:r>
        </w:p>
      </w:docPartBody>
    </w:docPart>
    <w:docPart>
      <w:docPartPr>
        <w:name w:val="B131210D8F8846BBB4A500046D10AB0C"/>
        <w:style w:val=""/>
        <w:category>
          <w:name w:val="常规"/>
          <w:gallery w:val="placeholder"/>
        </w:category>
        <w:types>
          <w:type w:val="bbPlcHdr"/>
        </w:types>
        <w:behaviors>
          <w:behavior w:val="content"/>
        </w:behaviors>
        <w:description w:val=""/>
        <w:guid w:val="{A0816419-CE64-49ED-8DE2-B834D604121D}"/>
      </w:docPartPr>
      <w:docPartBody>
        <w:p w14:paraId="714E3E3B">
          <w:pPr>
            <w:pStyle w:val="6"/>
          </w:pPr>
          <w:r>
            <w:rPr>
              <w:rStyle w:val="4"/>
              <w:rFonts w:hint="eastAsia"/>
            </w:rPr>
            <w:t>选择一项。</w:t>
          </w:r>
        </w:p>
      </w:docPartBody>
    </w:docPart>
    <w:docPart>
      <w:docPartPr>
        <w:name w:val="2CDC17C3D1BE4F9796F208528EE281FD"/>
        <w:style w:val=""/>
        <w:category>
          <w:name w:val="常规"/>
          <w:gallery w:val="placeholder"/>
        </w:category>
        <w:types>
          <w:type w:val="bbPlcHdr"/>
        </w:types>
        <w:behaviors>
          <w:behavior w:val="content"/>
        </w:behaviors>
        <w:description w:val=""/>
        <w:guid w:val="{EE6D0461-8694-4622-A432-0BF80BEAF295}"/>
      </w:docPartPr>
      <w:docPartBody>
        <w:p w14:paraId="77EDF9E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44"/>
    <w:rsid w:val="00050E9D"/>
    <w:rsid w:val="00132FA5"/>
    <w:rsid w:val="001E4B28"/>
    <w:rsid w:val="001F2444"/>
    <w:rsid w:val="00522626"/>
    <w:rsid w:val="005D7095"/>
    <w:rsid w:val="00633BA9"/>
    <w:rsid w:val="006862FF"/>
    <w:rsid w:val="007A6E26"/>
    <w:rsid w:val="00814568"/>
    <w:rsid w:val="008F538D"/>
    <w:rsid w:val="00A664ED"/>
    <w:rsid w:val="00B05CB6"/>
    <w:rsid w:val="00E0690E"/>
    <w:rsid w:val="00E778D5"/>
    <w:rsid w:val="00F2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5A9E7C2338D4E14A0C1D9F2626A2E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131210D8F8846BBB4A500046D10AB0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CDC17C3D1BE4F9796F208528EE281F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04728F-631E-4F4D-A3BF-E9993C5A9B28}">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6642</Words>
  <Characters>7943</Characters>
  <Lines>68</Lines>
  <Paragraphs>19</Paragraphs>
  <TotalTime>1</TotalTime>
  <ScaleCrop>false</ScaleCrop>
  <LinksUpToDate>false</LinksUpToDate>
  <CharactersWithSpaces>8169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2025-10-23T06:32:00Z</dcterms:created>
  <dc:creator>note</dc:creator>
  <dc:description>&lt;config cover="true" show_menu="true" version="1.0.0" doctype="SDKXY"&gt;_x000d_
&lt;/config&gt;</dc:description>
  <cp:lastModifiedBy>zhangsir</cp:lastModifiedBy>
  <cp:lastPrinted>2025-06-23T07:18:00Z</cp:lastPrinted>
  <dcterms:modified xsi:type="dcterms:W3CDTF">2025-10-30T01:20:23Z</dcterms:modified>
  <dc:title>团体标准</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eyJoZGlkIjoiMjFhYjg0NTMzNmMxNzk5NzQ2Nzg2NjkzNDM4OTMzMTQiLCJ1c2VySWQiOiIzMjkzNTA1OTEifQ==</vt:lpwstr>
  </property>
  <property fmtid="{D5CDD505-2E9C-101B-9397-08002B2CF9AE}" pid="15" name="KSOProductBuildVer">
    <vt:lpwstr>2052-12.1.0.23125</vt:lpwstr>
  </property>
  <property fmtid="{D5CDD505-2E9C-101B-9397-08002B2CF9AE}" pid="16" name="ICV">
    <vt:lpwstr>C712AF9FECD446998E208BAD066BFCE3_12</vt:lpwstr>
  </property>
</Properties>
</file>