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C1139">
      <w:pPr>
        <w:keepNext w:val="0"/>
        <w:keepLines w:val="0"/>
        <w:pageBreakBefore w:val="0"/>
        <w:widowControl/>
        <w:kinsoku w:val="0"/>
        <w:wordWrap/>
        <w:overflowPunct/>
        <w:topLinePunct w:val="0"/>
        <w:autoSpaceDE w:val="0"/>
        <w:autoSpaceDN w:val="0"/>
        <w:bidi w:val="0"/>
        <w:adjustRightInd w:val="0"/>
        <w:snapToGrid w:val="0"/>
        <w:spacing w:after="0" w:line="360" w:lineRule="auto"/>
        <w:ind w:right="0"/>
        <w:jc w:val="center"/>
        <w:textAlignment w:val="baseline"/>
        <w:rPr>
          <w:rFonts w:ascii="黑体" w:hAnsi="黑体" w:eastAsia="黑体" w:cs="黑体"/>
          <w:sz w:val="43"/>
          <w:szCs w:val="43"/>
        </w:rPr>
      </w:pPr>
      <w:r>
        <w:rPr>
          <w:rFonts w:hint="eastAsia" w:ascii="黑体" w:hAnsi="黑体" w:eastAsia="黑体" w:cs="黑体"/>
          <w:b/>
          <w:bCs/>
          <w:spacing w:val="15"/>
          <w:sz w:val="43"/>
          <w:szCs w:val="43"/>
        </w:rPr>
        <w:t>《药膳食品评价》</w:t>
      </w:r>
      <w:r>
        <w:rPr>
          <w:rFonts w:ascii="黑体" w:hAnsi="黑体" w:eastAsia="黑体" w:cs="黑体"/>
          <w:spacing w:val="10"/>
          <w:sz w:val="43"/>
          <w:szCs w:val="43"/>
        </w:rPr>
        <w:t xml:space="preserve"> </w:t>
      </w:r>
      <w:r>
        <w:rPr>
          <w:rFonts w:ascii="黑体" w:hAnsi="黑体" w:eastAsia="黑体" w:cs="黑体"/>
          <w:b/>
          <w:bCs/>
          <w:spacing w:val="10"/>
          <w:sz w:val="43"/>
          <w:szCs w:val="43"/>
        </w:rPr>
        <w:t>团体标准编制说明</w:t>
      </w:r>
    </w:p>
    <w:p w14:paraId="5DC112DD">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rPr>
          <w:rFonts w:ascii="黑体" w:hAnsi="黑体" w:eastAsia="黑体" w:cs="黑体"/>
          <w:spacing w:val="8"/>
          <w:sz w:val="31"/>
          <w:szCs w:val="31"/>
        </w:rPr>
      </w:pPr>
    </w:p>
    <w:p w14:paraId="5A10EE22">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after="0" w:line="360" w:lineRule="auto"/>
        <w:ind w:firstLineChars="0"/>
        <w:textAlignment w:val="baseline"/>
        <w:rPr>
          <w:rFonts w:ascii="方正正纤黑简体" w:eastAsia="方正正纤黑简体"/>
          <w:sz w:val="28"/>
          <w:szCs w:val="28"/>
          <w:lang w:val="en-US"/>
        </w:rPr>
      </w:pPr>
      <w:r>
        <w:rPr>
          <w:rFonts w:ascii="方正正纤黑简体" w:hAnsi="黑体" w:eastAsia="方正正纤黑简体" w:cs="黑体"/>
          <w:spacing w:val="8"/>
          <w:sz w:val="28"/>
          <w:szCs w:val="28"/>
        </w:rPr>
        <w:t>标准编制背景及任务来源</w:t>
      </w:r>
    </w:p>
    <w:p w14:paraId="B39E7A41">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after="0" w:line="360" w:lineRule="auto"/>
        <w:ind w:firstLineChars="0"/>
        <w:textAlignment w:val="baseline"/>
        <w:rPr>
          <w:rFonts w:hint="eastAsia" w:ascii="方正正纤黑简体" w:eastAsia="方正正纤黑简体"/>
          <w:sz w:val="28"/>
          <w:szCs w:val="28"/>
          <w:lang w:val="en-US" w:eastAsia="zh-CN"/>
        </w:rPr>
      </w:pPr>
      <w:r>
        <w:rPr>
          <w:rFonts w:ascii="方正正纤黑简体" w:eastAsia="方正正纤黑简体"/>
          <w:sz w:val="28"/>
          <w:szCs w:val="28"/>
          <w:lang w:val="en-US"/>
        </w:rPr>
        <w:t>标准编制背景</w:t>
      </w:r>
    </w:p>
    <w:p w14:paraId="24367FEC">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rPr>
          <w:rFonts w:hint="eastAsia" w:ascii="方正正纤黑简体" w:eastAsia="方正正纤黑简体"/>
          <w:sz w:val="28"/>
          <w:szCs w:val="28"/>
          <w:lang w:val="en-US" w:eastAsia="zh-CN"/>
        </w:rPr>
      </w:pPr>
      <w:r>
        <w:rPr>
          <w:rFonts w:hint="eastAsia" w:ascii="方正正纤黑简体" w:eastAsia="方正正纤黑简体"/>
          <w:sz w:val="28"/>
          <w:szCs w:val="28"/>
          <w:lang w:val="en-US" w:eastAsia="zh-CN"/>
        </w:rPr>
        <w:t>中国药膳是中国民族文化的瑰宝,有着悠久的历史和丰富的经验。几千年来,中国传统医学十分重视饮食药膳调理与健康长寿的辩证关系,它在长期的医学实践中累积了宝贵的药膳食疗保健经验,形成了独具特色的理论体系。</w:t>
      </w:r>
    </w:p>
    <w:p w14:paraId="9F1277B3">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3" w:firstLineChars="200"/>
        <w:jc w:val="both"/>
        <w:textAlignment w:val="baseline"/>
        <w:rPr>
          <w:rFonts w:hint="default" w:ascii="方正正纤黑简体" w:eastAsia="方正正纤黑简体"/>
          <w:sz w:val="28"/>
          <w:szCs w:val="28"/>
          <w:lang w:val="en-US" w:eastAsia="zh-CN"/>
        </w:rPr>
      </w:pPr>
      <w:r>
        <w:rPr>
          <w:rFonts w:hint="default" w:ascii="方正正纤黑简体" w:eastAsia="方正正纤黑简体"/>
          <w:sz w:val="28"/>
          <w:szCs w:val="28"/>
          <w:lang w:val="en-US" w:eastAsia="zh-CN"/>
        </w:rPr>
        <w:t>2002年,国家卫生部公布了87种《既是食品又是药品的物品清单》。2019年新增当归、山柰、西红花、草果、姜黄、荜茇等6种;2023年新增党参、肉苁蓉、铁皮石斛、西洋参、黄芪、灵芝、山茱萸、天麻、杜仲叶等9种;2024年新增地黄、麦冬、天冬、化橘红等4种</w:t>
      </w:r>
      <w:r>
        <w:rPr>
          <w:rFonts w:hint="default" w:ascii="方正正纤黑简体" w:eastAsia="方正正纤黑简体"/>
          <w:color w:val="000000"/>
          <w:sz w:val="28"/>
          <w:szCs w:val="28"/>
          <w:highlight w:val="none"/>
          <w:lang w:val="en-US" w:eastAsia="zh-CN"/>
        </w:rPr>
        <w:t>。</w:t>
      </w:r>
      <w:r>
        <w:rPr>
          <w:rFonts w:hint="default" w:ascii="方正正纤黑简体" w:eastAsia="方正正纤黑简体"/>
          <w:sz w:val="28"/>
          <w:szCs w:val="28"/>
          <w:lang w:val="en-US" w:eastAsia="zh-CN"/>
        </w:rPr>
        <w:t>即2019年至2024年期间,新增食药物质共19种,共计106种。此外,还有松花粉、玫瑰花、夏枯草、人参(5年及以下人工种植)、韭菜籽、甜瓜子、核桃仁、亚麻籽、枇杷叶、布渣叶等10种被国家卫生部行政部门批准列入《中国药典》新食品原料、普通食品类原料名单,总计116种。药膳食品则是在中医学、药学、营养学和烹饪学理论指导下,将具有食药物质与普通食材相配制,采用独特的工艺加工或饮食烹调技术与现代科学方法相结合制作而成的预包装食品或菜品。</w:t>
      </w:r>
    </w:p>
    <w:p w14:paraId="328F26F8">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3" w:firstLineChars="200"/>
        <w:jc w:val="both"/>
        <w:textAlignment w:val="baseline"/>
        <w:rPr>
          <w:rFonts w:ascii="方正正纤黑简体" w:eastAsia="方正正纤黑简体"/>
          <w:sz w:val="28"/>
          <w:szCs w:val="28"/>
          <w:lang w:val="en-US"/>
        </w:rPr>
      </w:pPr>
      <w:r>
        <w:rPr>
          <w:rFonts w:hint="default" w:ascii="方正正纤黑简体" w:eastAsia="方正正纤黑简体"/>
          <w:sz w:val="28"/>
          <w:szCs w:val="28"/>
          <w:lang w:val="en-US" w:eastAsia="zh-CN"/>
        </w:rPr>
        <w:t>国家一直重视支持食养药膳相关工作。在《“健康中国2030”规划纲要》、《中医药发展战略规划纲要(2016-2030年)》、《国民营养计划(2017-2030年)》等文件中,均对药膳和传统食疗等工作作出明确部署。同时,将食养药膳纳入各类方案、指南进行推广应用,饮食调养已融入未病先防、既病防变、瘥后防复中。积极推进食养药膳的产业化进程,推动中国特色食养健康产品走向世界舞台的呼声愈来愈高。但当前药膳行业乱象触目惊心:电商平台"伪养生"产品泛滥,部分商家违规添加非食药物质,如某凉茶店在饮品中添加麻黄等禁用药材;虚假宣传屡禁不止,某"十全大补汤包"宣称"一包解决亚健康",却未标注配伍禁忌;“千人一方”的盲目滋补问题屡见不鲜。因标准缺失导致产品质量参差不齐和消费认知偏差造成</w:t>
      </w:r>
      <w:r>
        <w:rPr>
          <w:rFonts w:hint="eastAsia" w:ascii="方正正纤黑简体" w:eastAsia="方正正纤黑简体"/>
          <w:sz w:val="28"/>
          <w:szCs w:val="28"/>
          <w:lang w:val="en-US" w:eastAsia="zh-CN"/>
        </w:rPr>
        <w:t>养生行为失范引发的信任危机,正如世界卫生组织警示:“传统养生产品的无序发展,可能加剧健康不平等"。</w:t>
      </w:r>
      <w:r>
        <w:rPr>
          <w:rFonts w:ascii="方正正纤黑简体" w:eastAsia="方正正纤黑简体"/>
          <w:sz w:val="28"/>
          <w:szCs w:val="28"/>
          <w:lang w:val="en-US"/>
        </w:rPr>
        <w:t>在此背景下，制定《药膳食品评价标准》团体标准十分必要，以规范行业发展。</w:t>
      </w:r>
    </w:p>
    <w:p w14:paraId="D4513F92">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3" w:firstLineChars="200"/>
        <w:jc w:val="both"/>
        <w:textAlignment w:val="baseline"/>
        <w:rPr>
          <w:rFonts w:ascii="方正正纤黑简体" w:eastAsia="方正正纤黑简体"/>
          <w:sz w:val="28"/>
          <w:szCs w:val="28"/>
          <w:lang w:val="en-US"/>
        </w:rPr>
      </w:pPr>
      <w:r>
        <w:rPr>
          <w:rFonts w:ascii="方正正纤黑简体" w:eastAsia="方正正纤黑简体"/>
          <w:sz w:val="28"/>
          <w:szCs w:val="28"/>
          <w:lang w:val="en-US"/>
        </w:rPr>
        <w:t>（二）任务来源</w:t>
      </w:r>
    </w:p>
    <w:p w14:paraId="5B7F5123">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3" w:firstLineChars="200"/>
        <w:jc w:val="both"/>
        <w:textAlignment w:val="baseline"/>
        <w:rPr>
          <w:rFonts w:ascii="方正正纤黑简体" w:eastAsia="方正正纤黑简体"/>
          <w:sz w:val="28"/>
          <w:szCs w:val="28"/>
          <w:lang w:val="en-US"/>
        </w:rPr>
      </w:pPr>
      <w:r>
        <w:rPr>
          <w:rFonts w:ascii="方正正纤黑简体" w:eastAsia="方正正纤黑简体"/>
          <w:sz w:val="28"/>
          <w:szCs w:val="28"/>
          <w:lang w:val="en-US"/>
        </w:rPr>
        <w:t>中国民族卫生协会是经国务院批准</w:t>
      </w:r>
      <w:r>
        <w:rPr>
          <w:rFonts w:hint="eastAsia" w:ascii="方正正纤黑简体" w:eastAsia="方正正纤黑简体"/>
          <w:sz w:val="28"/>
          <w:szCs w:val="28"/>
          <w:lang w:val="en-US" w:eastAsia="zh-CN"/>
        </w:rPr>
        <w:t>，在国家民政部注册登记，走国家卫生健康委员会直管</w:t>
      </w:r>
      <w:r>
        <w:rPr>
          <w:rFonts w:ascii="方正正纤黑简体" w:eastAsia="方正正纤黑简体"/>
          <w:sz w:val="28"/>
          <w:szCs w:val="28"/>
          <w:lang w:val="en-US"/>
        </w:rPr>
        <w:t>的国家一级非营利性社会团体，以</w:t>
      </w:r>
      <w:r>
        <w:rPr>
          <w:rFonts w:hint="eastAsia" w:ascii="方正正纤黑简体" w:eastAsia="方正正纤黑简体"/>
          <w:sz w:val="28"/>
          <w:szCs w:val="28"/>
          <w:lang w:val="en-US" w:eastAsia="zh-CN"/>
        </w:rPr>
        <w:t>繁荣民族卫生、振兴民族医药、增进民族健康</w:t>
      </w:r>
      <w:r>
        <w:rPr>
          <w:rFonts w:ascii="方正正纤黑简体" w:eastAsia="方正正纤黑简体"/>
          <w:sz w:val="28"/>
          <w:szCs w:val="28"/>
          <w:lang w:val="en-US"/>
        </w:rPr>
        <w:t>为宗旨。</w:t>
      </w:r>
    </w:p>
    <w:p w14:paraId="602B9D80">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3" w:firstLineChars="200"/>
        <w:jc w:val="both"/>
        <w:textAlignment w:val="baseline"/>
        <w:rPr>
          <w:rFonts w:ascii="方正正纤黑简体" w:eastAsia="方正正纤黑简体"/>
          <w:sz w:val="28"/>
          <w:szCs w:val="28"/>
        </w:rPr>
      </w:pPr>
      <w:r>
        <w:rPr>
          <w:rFonts w:ascii="方正正纤黑简体" w:eastAsia="方正正纤黑简体"/>
          <w:sz w:val="28"/>
          <w:szCs w:val="28"/>
          <w:lang w:val="en-US"/>
        </w:rPr>
        <w:t>为规范药膳食品评价活动，保障药膳食品的安全性、食养性与质量稳定性，促进药膳行业标准化发展，根据《中国民族卫生协会团体标准管理办法（试行）》的有关规定，2024年经中国民族卫生协会标准化工作委员会研究批准了团体标准《药膳食品评价标准》制定项目（项目编号：T/CACM ****-2024）的立项。该标准由民族大医馆健康产业管理(北京)股份公司提出，国家卫生健康委科研所临床医学中心、民族大医馆健康产业管理(北京)股份公司</w:t>
      </w:r>
      <w:r>
        <w:rPr>
          <w:rFonts w:hint="eastAsia" w:ascii="方正正纤黑简体" w:eastAsia="方正正纤黑简体"/>
          <w:sz w:val="28"/>
          <w:szCs w:val="28"/>
          <w:lang w:val="en-US" w:eastAsia="zh-CN"/>
        </w:rPr>
        <w:t>、中医科学院</w:t>
      </w:r>
      <w:r>
        <w:rPr>
          <w:rFonts w:hint="default" w:ascii="方正正纤黑简体" w:eastAsia="方正正纤黑简体"/>
          <w:sz w:val="28"/>
          <w:szCs w:val="28"/>
          <w:lang w:val="en-US" w:eastAsia="zh-CN"/>
        </w:rPr>
        <w:t>(</w:t>
      </w:r>
      <w:r>
        <w:rPr>
          <w:rFonts w:hint="eastAsia" w:ascii="方正正纤黑简体" w:eastAsia="方正正纤黑简体"/>
          <w:sz w:val="28"/>
          <w:szCs w:val="28"/>
          <w:lang w:val="en-US" w:eastAsia="zh-CN"/>
        </w:rPr>
        <w:t>北京</w:t>
      </w:r>
      <w:r>
        <w:rPr>
          <w:rFonts w:hint="default" w:ascii="方正正纤黑简体" w:eastAsia="方正正纤黑简体"/>
          <w:sz w:val="28"/>
          <w:szCs w:val="28"/>
          <w:lang w:val="en-US" w:eastAsia="zh-CN"/>
        </w:rPr>
        <w:t>)</w:t>
      </w:r>
      <w:r>
        <w:rPr>
          <w:rFonts w:hint="eastAsia" w:ascii="方正正纤黑简体" w:eastAsia="方正正纤黑简体"/>
          <w:sz w:val="28"/>
          <w:szCs w:val="28"/>
          <w:lang w:val="en-US" w:eastAsia="zh-CN"/>
        </w:rPr>
        <w:t>健康科技有限公司</w:t>
      </w:r>
      <w:r>
        <w:rPr>
          <w:rFonts w:ascii="方正正纤黑简体" w:eastAsia="方正正纤黑简体"/>
          <w:sz w:val="28"/>
          <w:szCs w:val="28"/>
          <w:lang w:val="en-US"/>
        </w:rPr>
        <w:t>等多家单位共同起草完成。</w:t>
      </w:r>
    </w:p>
    <w:p w14:paraId="5D1BD6A1">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rPr>
          <w:rFonts w:ascii="方正正纤黑简体" w:eastAsia="方正正纤黑简体"/>
          <w:sz w:val="28"/>
          <w:szCs w:val="28"/>
        </w:rPr>
      </w:pPr>
      <w:r>
        <w:rPr>
          <w:rFonts w:ascii="方正正纤黑简体" w:hAnsi="黑体" w:eastAsia="方正正纤黑简体" w:cs="黑体"/>
          <w:spacing w:val="7"/>
          <w:sz w:val="28"/>
          <w:szCs w:val="28"/>
        </w:rPr>
        <w:t>二、主要工作过程</w:t>
      </w:r>
    </w:p>
    <w:p w14:paraId="459B0B5C">
      <w:pPr>
        <w:pStyle w:val="7"/>
        <w:keepNext w:val="0"/>
        <w:keepLines w:val="0"/>
        <w:pageBreakBefore w:val="0"/>
        <w:widowControl/>
        <w:numPr>
          <w:ilvl w:val="0"/>
          <w:numId w:val="3"/>
        </w:numPr>
        <w:kinsoku w:val="0"/>
        <w:wordWrap/>
        <w:overflowPunct/>
        <w:topLinePunct w:val="0"/>
        <w:autoSpaceDE w:val="0"/>
        <w:autoSpaceDN w:val="0"/>
        <w:bidi w:val="0"/>
        <w:adjustRightInd w:val="0"/>
        <w:snapToGrid w:val="0"/>
        <w:spacing w:after="0" w:line="360" w:lineRule="auto"/>
        <w:ind w:firstLineChars="0"/>
        <w:textAlignment w:val="baseline"/>
        <w:outlineLvl w:val="0"/>
        <w:rPr>
          <w:rFonts w:ascii="方正正纤黑简体" w:hAnsi="楷体" w:eastAsia="方正正纤黑简体" w:cs="楷体"/>
          <w:sz w:val="28"/>
          <w:szCs w:val="28"/>
        </w:rPr>
      </w:pPr>
      <w:r>
        <w:rPr>
          <w:rFonts w:ascii="方正正纤黑简体" w:hAnsi="楷体" w:eastAsia="方正正纤黑简体" w:cs="楷体"/>
          <w:spacing w:val="1"/>
          <w:sz w:val="28"/>
          <w:szCs w:val="28"/>
        </w:rPr>
        <w:t>预研（202</w:t>
      </w:r>
      <w:r>
        <w:rPr>
          <w:rFonts w:ascii="方正正纤黑简体" w:hAnsi="楷体" w:eastAsia="方正正纤黑简体" w:cs="楷体"/>
          <w:spacing w:val="1"/>
          <w:sz w:val="28"/>
          <w:szCs w:val="28"/>
          <w:lang w:val="en-US"/>
        </w:rPr>
        <w:t>4</w:t>
      </w:r>
      <w:r>
        <w:rPr>
          <w:rFonts w:ascii="方正正纤黑简体" w:hAnsi="楷体" w:eastAsia="方正正纤黑简体" w:cs="楷体"/>
          <w:spacing w:val="1"/>
          <w:sz w:val="28"/>
          <w:szCs w:val="28"/>
        </w:rPr>
        <w:t>年</w:t>
      </w:r>
      <w:r>
        <w:rPr>
          <w:rFonts w:ascii="方正正纤黑简体" w:hAnsi="楷体" w:eastAsia="方正正纤黑简体" w:cs="楷体"/>
          <w:spacing w:val="-65"/>
          <w:sz w:val="28"/>
          <w:szCs w:val="28"/>
        </w:rPr>
        <w:t xml:space="preserve"> </w:t>
      </w:r>
      <w:r>
        <w:rPr>
          <w:rFonts w:ascii="方正正纤黑简体" w:hAnsi="楷体" w:eastAsia="方正正纤黑简体" w:cs="楷体"/>
          <w:spacing w:val="-65"/>
          <w:sz w:val="28"/>
          <w:szCs w:val="28"/>
          <w:lang w:val="en-US"/>
        </w:rPr>
        <w:t>1</w:t>
      </w:r>
      <w:r>
        <w:rPr>
          <w:rFonts w:ascii="方正正纤黑简体" w:hAnsi="楷体" w:eastAsia="方正正纤黑简体" w:cs="楷体"/>
          <w:spacing w:val="-47"/>
          <w:sz w:val="28"/>
          <w:szCs w:val="28"/>
        </w:rPr>
        <w:t xml:space="preserve"> </w:t>
      </w:r>
      <w:r>
        <w:rPr>
          <w:rFonts w:ascii="方正正纤黑简体" w:hAnsi="楷体" w:eastAsia="方正正纤黑简体" w:cs="楷体"/>
          <w:spacing w:val="1"/>
          <w:sz w:val="28"/>
          <w:szCs w:val="28"/>
        </w:rPr>
        <w:t>月～20</w:t>
      </w:r>
      <w:r>
        <w:rPr>
          <w:rFonts w:ascii="方正正纤黑简体" w:hAnsi="楷体" w:eastAsia="方正正纤黑简体" w:cs="楷体"/>
          <w:spacing w:val="1"/>
          <w:sz w:val="28"/>
          <w:szCs w:val="28"/>
          <w:lang w:val="en-US"/>
        </w:rPr>
        <w:t>24</w:t>
      </w:r>
      <w:r>
        <w:rPr>
          <w:rFonts w:ascii="方正正纤黑简体" w:hAnsi="楷体" w:eastAsia="方正正纤黑简体" w:cs="楷体"/>
          <w:spacing w:val="1"/>
          <w:sz w:val="28"/>
          <w:szCs w:val="28"/>
        </w:rPr>
        <w:t>年</w:t>
      </w:r>
      <w:r>
        <w:rPr>
          <w:rFonts w:ascii="方正正纤黑简体" w:hAnsi="楷体" w:eastAsia="方正正纤黑简体" w:cs="楷体"/>
          <w:spacing w:val="-71"/>
          <w:sz w:val="28"/>
          <w:szCs w:val="28"/>
        </w:rPr>
        <w:t xml:space="preserve"> </w:t>
      </w:r>
      <w:r>
        <w:rPr>
          <w:rFonts w:ascii="方正正纤黑简体" w:hAnsi="楷体" w:eastAsia="方正正纤黑简体" w:cs="楷体"/>
          <w:spacing w:val="-71"/>
          <w:sz w:val="28"/>
          <w:szCs w:val="28"/>
          <w:lang w:val="en-US"/>
        </w:rPr>
        <w:t>7</w:t>
      </w:r>
      <w:r>
        <w:rPr>
          <w:rFonts w:ascii="方正正纤黑简体" w:hAnsi="楷体" w:eastAsia="方正正纤黑简体" w:cs="楷体"/>
          <w:spacing w:val="1"/>
          <w:sz w:val="28"/>
          <w:szCs w:val="28"/>
        </w:rPr>
        <w:t>月）</w:t>
      </w:r>
    </w:p>
    <w:p w14:paraId="13D3B797">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z w:val="28"/>
          <w:szCs w:val="28"/>
          <w:lang w:val="en-US"/>
        </w:rPr>
      </w:pPr>
      <w:r>
        <w:rPr>
          <w:rFonts w:ascii="方正正纤黑简体" w:hAnsi="楷体" w:eastAsia="方正正纤黑简体" w:cs="楷体"/>
          <w:sz w:val="28"/>
          <w:szCs w:val="28"/>
          <w:lang w:val="en-US"/>
        </w:rPr>
        <w:t>接到编制任务后，</w:t>
      </w:r>
      <w:r>
        <w:rPr>
          <w:rFonts w:hint="eastAsia" w:ascii="方正正纤黑简体" w:hAnsi="楷体" w:eastAsia="方正正纤黑简体" w:cs="楷体"/>
          <w:sz w:val="28"/>
          <w:szCs w:val="28"/>
          <w:lang w:val="en-US" w:eastAsia="zh-CN"/>
        </w:rPr>
        <w:t>国家卫生健康委科研所临床医学中心、民族大医馆健康产业管理(北京)股份公司、中医科学院(北京)健康科技有限公司、铭明德(北京)中医药文化中心、融科(成都)互联网医院有限公司、北京市东城区中科职业技能培训学校、北京英平医疗技术研究所、江西仁仁健康微生态科技有限公司、金方膳府(北京)餐饮管理有限公司、武汉同济思源药业有限公司</w:t>
      </w:r>
      <w:r>
        <w:rPr>
          <w:rFonts w:ascii="方正正纤黑简体" w:hAnsi="楷体" w:eastAsia="方正正纤黑简体" w:cs="楷体"/>
          <w:sz w:val="28"/>
          <w:szCs w:val="28"/>
          <w:lang w:val="en-US"/>
        </w:rPr>
        <w:t>等12家单位</w:t>
      </w:r>
      <w:r>
        <w:rPr>
          <w:rFonts w:hint="eastAsia" w:ascii="方正正纤黑简体" w:hAnsi="楷体" w:eastAsia="方正正纤黑简体" w:cs="楷体"/>
          <w:sz w:val="28"/>
          <w:szCs w:val="28"/>
          <w:lang w:val="en-US" w:eastAsia="zh-CN"/>
        </w:rPr>
        <w:t>于</w:t>
      </w:r>
      <w:r>
        <w:rPr>
          <w:rFonts w:hint="default" w:ascii="方正正纤黑简体" w:hAnsi="楷体" w:eastAsia="方正正纤黑简体" w:cs="楷体"/>
          <w:sz w:val="28"/>
          <w:szCs w:val="28"/>
          <w:lang w:val="en-US" w:eastAsia="zh-CN"/>
        </w:rPr>
        <w:t>2024</w:t>
      </w:r>
      <w:r>
        <w:rPr>
          <w:rFonts w:hint="eastAsia" w:ascii="方正正纤黑简体" w:hAnsi="楷体" w:eastAsia="方正正纤黑简体" w:cs="楷体"/>
          <w:sz w:val="28"/>
          <w:szCs w:val="28"/>
          <w:lang w:val="en-US" w:eastAsia="zh-CN"/>
        </w:rPr>
        <w:t>年</w:t>
      </w:r>
      <w:r>
        <w:rPr>
          <w:rFonts w:hint="default" w:ascii="方正正纤黑简体" w:hAnsi="楷体" w:eastAsia="方正正纤黑简体" w:cs="楷体"/>
          <w:sz w:val="28"/>
          <w:szCs w:val="28"/>
          <w:lang w:val="en-US" w:eastAsia="zh-CN"/>
        </w:rPr>
        <w:t>1</w:t>
      </w:r>
      <w:r>
        <w:rPr>
          <w:rFonts w:hint="eastAsia" w:ascii="方正正纤黑简体" w:hAnsi="楷体" w:eastAsia="方正正纤黑简体" w:cs="楷体"/>
          <w:sz w:val="28"/>
          <w:szCs w:val="28"/>
          <w:lang w:val="en-US" w:eastAsia="zh-CN"/>
        </w:rPr>
        <w:t>月</w:t>
      </w:r>
      <w:r>
        <w:rPr>
          <w:rFonts w:ascii="方正正纤黑简体" w:hAnsi="楷体" w:eastAsia="方正正纤黑简体" w:cs="楷体"/>
          <w:sz w:val="28"/>
          <w:szCs w:val="28"/>
          <w:lang w:val="en-US"/>
        </w:rPr>
        <w:t>成立了标准</w:t>
      </w:r>
      <w:r>
        <w:rPr>
          <w:rFonts w:hint="eastAsia" w:ascii="方正正纤黑简体" w:hAnsi="楷体" w:eastAsia="方正正纤黑简体" w:cs="楷体"/>
          <w:sz w:val="28"/>
          <w:szCs w:val="28"/>
          <w:lang w:val="en-US" w:eastAsia="zh-CN"/>
        </w:rPr>
        <w:t>课题组</w:t>
      </w:r>
      <w:r>
        <w:rPr>
          <w:rFonts w:ascii="方正正纤黑简体" w:hAnsi="楷体" w:eastAsia="方正正纤黑简体" w:cs="楷体"/>
          <w:sz w:val="28"/>
          <w:szCs w:val="28"/>
          <w:lang w:val="en-US"/>
        </w:rPr>
        <w:t>并启动编制工作</w:t>
      </w:r>
      <w:r>
        <w:rPr>
          <w:rFonts w:hint="eastAsia" w:ascii="方正正纤黑简体" w:hAnsi="楷体" w:eastAsia="方正正纤黑简体" w:cs="楷体"/>
          <w:sz w:val="28"/>
          <w:szCs w:val="28"/>
          <w:lang w:val="en-US" w:eastAsia="zh-CN"/>
        </w:rPr>
        <w:t>，</w:t>
      </w:r>
      <w:r>
        <w:rPr>
          <w:rFonts w:ascii="方正正纤黑简体" w:eastAsia="方正正纤黑简体"/>
          <w:sz w:val="28"/>
          <w:szCs w:val="28"/>
        </w:rPr>
        <w:drawing>
          <wp:anchor distT="0" distB="0" distL="114300" distR="114300" simplePos="0" relativeHeight="251661312" behindDoc="0" locked="0" layoutInCell="1" allowOverlap="1">
            <wp:simplePos x="0" y="0"/>
            <wp:positionH relativeFrom="column">
              <wp:posOffset>242570</wp:posOffset>
            </wp:positionH>
            <wp:positionV relativeFrom="paragraph">
              <wp:posOffset>1342390</wp:posOffset>
            </wp:positionV>
            <wp:extent cx="5330825" cy="2872740"/>
            <wp:effectExtent l="0" t="0" r="3175" b="3810"/>
            <wp:wrapNone/>
            <wp:docPr id="1036" name="Image1"/>
            <wp:cNvGraphicFramePr/>
            <a:graphic xmlns:a="http://schemas.openxmlformats.org/drawingml/2006/main">
              <a:graphicData uri="http://schemas.openxmlformats.org/drawingml/2006/picture">
                <pic:pic xmlns:pic="http://schemas.openxmlformats.org/drawingml/2006/picture">
                  <pic:nvPicPr>
                    <pic:cNvPr id="1036" name="Image1"/>
                    <pic:cNvPicPr/>
                  </pic:nvPicPr>
                  <pic:blipFill>
                    <a:blip r:embed="rId7" cstate="print"/>
                    <a:srcRect/>
                    <a:stretch>
                      <a:fillRect/>
                    </a:stretch>
                  </pic:blipFill>
                  <pic:spPr>
                    <a:xfrm>
                      <a:off x="0" y="0"/>
                      <a:ext cx="5331440" cy="2872848"/>
                    </a:xfrm>
                    <a:prstGeom prst="rect">
                      <a:avLst/>
                    </a:prstGeom>
                  </pic:spPr>
                </pic:pic>
              </a:graphicData>
            </a:graphic>
          </wp:anchor>
        </w:drawing>
      </w:r>
      <w:r>
        <w:rPr>
          <w:rFonts w:hint="eastAsia" w:ascii="方正正纤黑简体" w:hAnsi="楷体" w:eastAsia="方正正纤黑简体" w:cs="楷体"/>
          <w:sz w:val="28"/>
          <w:szCs w:val="28"/>
          <w:lang w:val="en-US" w:eastAsia="zh-CN"/>
        </w:rPr>
        <w:t>国家卫计委原副主任陈啸宏、中国民族卫生协会会长吴英萍等领导共同参与了课题的启动与揭牌</w:t>
      </w:r>
      <w:r>
        <w:rPr>
          <w:rFonts w:ascii="方正正纤黑简体" w:hAnsi="楷体" w:eastAsia="方正正纤黑简体" w:cs="楷体"/>
          <w:sz w:val="28"/>
          <w:szCs w:val="28"/>
          <w:lang w:val="en-US"/>
        </w:rPr>
        <w:t>。在第一次全体成员会议上，具体分析和讨论了整体研究规划和分步实施计划的思路，对药膳行业现状、现有相关标准及法律法规等进行了深入调研。</w:t>
      </w:r>
    </w:p>
    <w:p w14:paraId="17AD7D1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z w:val="28"/>
          <w:szCs w:val="28"/>
          <w:lang w:val="en-US"/>
        </w:rPr>
      </w:pPr>
    </w:p>
    <w:p w14:paraId="C62364BA">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eastAsia="方正正纤黑简体"/>
          <w:sz w:val="28"/>
          <w:szCs w:val="28"/>
        </w:rPr>
      </w:pPr>
    </w:p>
    <w:p w14:paraId="1C5E3EE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eastAsia="方正正纤黑简体"/>
          <w:sz w:val="28"/>
          <w:szCs w:val="28"/>
        </w:rPr>
      </w:pPr>
    </w:p>
    <w:p w14:paraId="7891E1A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eastAsia="方正正纤黑简体"/>
          <w:sz w:val="28"/>
          <w:szCs w:val="28"/>
        </w:rPr>
      </w:pPr>
    </w:p>
    <w:p w14:paraId="D2CD570A">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eastAsia="方正正纤黑简体"/>
          <w:sz w:val="28"/>
          <w:szCs w:val="28"/>
        </w:rPr>
      </w:pPr>
    </w:p>
    <w:p w14:paraId="E86E2FDB">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eastAsia="方正正纤黑简体"/>
          <w:sz w:val="28"/>
          <w:szCs w:val="28"/>
        </w:rPr>
      </w:pPr>
    </w:p>
    <w:p w14:paraId="7CC79FB2">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eastAsia="方正正纤黑简体"/>
          <w:sz w:val="28"/>
          <w:szCs w:val="28"/>
        </w:rPr>
      </w:pPr>
    </w:p>
    <w:p w14:paraId="1B9B0AA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eastAsia="方正正纤黑简体"/>
          <w:sz w:val="28"/>
          <w:szCs w:val="28"/>
        </w:rPr>
      </w:pPr>
    </w:p>
    <w:p w14:paraId="4F31AFD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eastAsia="方正正纤黑简体"/>
          <w:sz w:val="28"/>
          <w:szCs w:val="28"/>
        </w:rPr>
      </w:pPr>
    </w:p>
    <w:p w14:paraId="278EF90A">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eastAsia="方正正纤黑简体"/>
          <w:sz w:val="28"/>
          <w:szCs w:val="28"/>
        </w:rPr>
      </w:pPr>
      <w:r>
        <w:rPr>
          <w:rFonts w:ascii="方正正纤黑简体" w:eastAsia="方正正纤黑简体"/>
          <w:sz w:val="28"/>
          <w:szCs w:val="28"/>
        </w:rPr>
        <w:drawing>
          <wp:anchor distT="0" distB="0" distL="0" distR="0" simplePos="0" relativeHeight="251659264" behindDoc="0" locked="0" layoutInCell="1" allowOverlap="1">
            <wp:simplePos x="0" y="0"/>
            <wp:positionH relativeFrom="page">
              <wp:posOffset>1186815</wp:posOffset>
            </wp:positionH>
            <wp:positionV relativeFrom="page">
              <wp:posOffset>5135245</wp:posOffset>
            </wp:positionV>
            <wp:extent cx="5325745" cy="2266950"/>
            <wp:effectExtent l="0" t="0" r="8255" b="0"/>
            <wp:wrapNone/>
            <wp:docPr id="1035" name="Image1"/>
            <wp:cNvGraphicFramePr/>
            <a:graphic xmlns:a="http://schemas.openxmlformats.org/drawingml/2006/main">
              <a:graphicData uri="http://schemas.openxmlformats.org/drawingml/2006/picture">
                <pic:pic xmlns:pic="http://schemas.openxmlformats.org/drawingml/2006/picture">
                  <pic:nvPicPr>
                    <pic:cNvPr id="1035" name="Image1"/>
                    <pic:cNvPicPr/>
                  </pic:nvPicPr>
                  <pic:blipFill>
                    <a:blip r:embed="rId8" cstate="print"/>
                    <a:srcRect/>
                    <a:stretch>
                      <a:fillRect/>
                    </a:stretch>
                  </pic:blipFill>
                  <pic:spPr>
                    <a:xfrm>
                      <a:off x="0" y="0"/>
                      <a:ext cx="5325745" cy="2266950"/>
                    </a:xfrm>
                    <a:prstGeom prst="rect">
                      <a:avLst/>
                    </a:prstGeom>
                  </pic:spPr>
                </pic:pic>
              </a:graphicData>
            </a:graphic>
          </wp:anchor>
        </w:drawing>
      </w:r>
    </w:p>
    <w:p w14:paraId="3A2907F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eastAsia="方正正纤黑简体"/>
          <w:sz w:val="28"/>
          <w:szCs w:val="28"/>
        </w:rPr>
      </w:pPr>
    </w:p>
    <w:p w14:paraId="634BD0EB">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eastAsia="方正正纤黑简体"/>
          <w:sz w:val="28"/>
          <w:szCs w:val="28"/>
        </w:rPr>
      </w:pPr>
    </w:p>
    <w:p w14:paraId="1BF7CD3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eastAsia="方正正纤黑简体"/>
          <w:sz w:val="28"/>
          <w:szCs w:val="28"/>
        </w:rPr>
      </w:pPr>
    </w:p>
    <w:p w14:paraId="B4B1A5A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eastAsia="方正正纤黑简体"/>
          <w:sz w:val="28"/>
          <w:szCs w:val="28"/>
        </w:rPr>
      </w:pPr>
    </w:p>
    <w:p w14:paraId="FAF51BD0">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方正正纤黑简体" w:eastAsia="方正正纤黑简体"/>
          <w:sz w:val="28"/>
          <w:szCs w:val="28"/>
        </w:rPr>
      </w:pPr>
    </w:p>
    <w:p w14:paraId="49AF623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方正正纤黑简体" w:eastAsia="方正正纤黑简体"/>
          <w:sz w:val="28"/>
          <w:szCs w:val="28"/>
        </w:rPr>
      </w:pPr>
    </w:p>
    <w:p w14:paraId="2BF47A1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方正正纤黑简体" w:eastAsia="方正正纤黑简体"/>
          <w:sz w:val="28"/>
          <w:szCs w:val="28"/>
        </w:rPr>
      </w:pPr>
      <w:r>
        <w:rPr>
          <w:rFonts w:ascii="方正正纤黑简体" w:eastAsia="方正正纤黑简体"/>
          <w:sz w:val="28"/>
          <w:szCs w:val="28"/>
        </w:rPr>
        <w:drawing>
          <wp:anchor distT="0" distB="0" distL="114300" distR="114300" simplePos="0" relativeHeight="251660288" behindDoc="0" locked="0" layoutInCell="1" allowOverlap="1">
            <wp:simplePos x="0" y="0"/>
            <wp:positionH relativeFrom="column">
              <wp:posOffset>222885</wp:posOffset>
            </wp:positionH>
            <wp:positionV relativeFrom="paragraph">
              <wp:posOffset>213995</wp:posOffset>
            </wp:positionV>
            <wp:extent cx="5347970" cy="2985135"/>
            <wp:effectExtent l="0" t="0" r="5080" b="5715"/>
            <wp:wrapNone/>
            <wp:docPr id="1033" name="Image1"/>
            <wp:cNvGraphicFramePr/>
            <a:graphic xmlns:a="http://schemas.openxmlformats.org/drawingml/2006/main">
              <a:graphicData uri="http://schemas.openxmlformats.org/drawingml/2006/picture">
                <pic:pic xmlns:pic="http://schemas.openxmlformats.org/drawingml/2006/picture">
                  <pic:nvPicPr>
                    <pic:cNvPr id="1033" name="Image1"/>
                    <pic:cNvPicPr/>
                  </pic:nvPicPr>
                  <pic:blipFill>
                    <a:blip r:embed="rId9" cstate="print"/>
                    <a:srcRect/>
                    <a:stretch>
                      <a:fillRect/>
                    </a:stretch>
                  </pic:blipFill>
                  <pic:spPr>
                    <a:xfrm>
                      <a:off x="0" y="0"/>
                      <a:ext cx="5347970" cy="2985135"/>
                    </a:xfrm>
                    <a:prstGeom prst="rect">
                      <a:avLst/>
                    </a:prstGeom>
                  </pic:spPr>
                </pic:pic>
              </a:graphicData>
            </a:graphic>
          </wp:anchor>
        </w:drawing>
      </w:r>
    </w:p>
    <w:p w14:paraId="7603745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方正正纤黑简体" w:eastAsia="方正正纤黑简体"/>
          <w:sz w:val="28"/>
          <w:szCs w:val="28"/>
        </w:rPr>
      </w:pPr>
    </w:p>
    <w:p w14:paraId="593E08A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方正正纤黑简体" w:eastAsia="方正正纤黑简体"/>
          <w:sz w:val="28"/>
          <w:szCs w:val="28"/>
        </w:rPr>
      </w:pPr>
    </w:p>
    <w:p w14:paraId="126F679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方正正纤黑简体" w:eastAsia="方正正纤黑简体"/>
          <w:sz w:val="28"/>
          <w:szCs w:val="28"/>
        </w:rPr>
      </w:pPr>
    </w:p>
    <w:p w14:paraId="38FAF59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方正正纤黑简体" w:eastAsia="方正正纤黑简体"/>
          <w:sz w:val="28"/>
          <w:szCs w:val="28"/>
        </w:rPr>
      </w:pPr>
    </w:p>
    <w:p w14:paraId="47953522">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方正正纤黑简体" w:eastAsia="方正正纤黑简体"/>
          <w:sz w:val="28"/>
          <w:szCs w:val="28"/>
        </w:rPr>
      </w:pPr>
      <w:bookmarkStart w:id="0" w:name="_GoBack"/>
      <w:bookmarkEnd w:id="0"/>
    </w:p>
    <w:p w14:paraId="21E3DFA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方正正纤黑简体" w:eastAsia="方正正纤黑简体"/>
          <w:sz w:val="28"/>
          <w:szCs w:val="28"/>
        </w:rPr>
      </w:pPr>
    </w:p>
    <w:p w14:paraId="3531BB2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方正正纤黑简体" w:eastAsia="方正正纤黑简体"/>
          <w:sz w:val="28"/>
          <w:szCs w:val="28"/>
        </w:rPr>
      </w:pPr>
    </w:p>
    <w:p w14:paraId="735F1999">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ascii="方正正纤黑简体" w:eastAsia="方正正纤黑简体"/>
          <w:sz w:val="28"/>
          <w:szCs w:val="28"/>
        </w:rPr>
      </w:pPr>
    </w:p>
    <w:p w14:paraId="6EBAC7CE">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z w:val="28"/>
          <w:szCs w:val="28"/>
        </w:rPr>
      </w:pPr>
      <w:r>
        <w:rPr>
          <w:rFonts w:ascii="方正正纤黑简体" w:hAnsi="楷体" w:eastAsia="方正正纤黑简体" w:cs="楷体"/>
          <w:sz w:val="28"/>
          <w:szCs w:val="28"/>
        </w:rPr>
        <w:t>（二）编制（2023</w:t>
      </w:r>
      <w:r>
        <w:rPr>
          <w:rFonts w:ascii="方正正纤黑简体" w:hAnsi="楷体" w:eastAsia="方正正纤黑简体" w:cs="楷体"/>
          <w:sz w:val="28"/>
          <w:szCs w:val="28"/>
          <w:lang w:val="en-US"/>
        </w:rPr>
        <w:t>4</w:t>
      </w:r>
      <w:r>
        <w:rPr>
          <w:rFonts w:ascii="方正正纤黑简体" w:hAnsi="楷体" w:eastAsia="方正正纤黑简体" w:cs="楷体"/>
          <w:sz w:val="28"/>
          <w:szCs w:val="28"/>
        </w:rPr>
        <w:t>年</w:t>
      </w:r>
      <w:r>
        <w:rPr>
          <w:rFonts w:ascii="方正正纤黑简体" w:hAnsi="楷体" w:eastAsia="方正正纤黑简体" w:cs="楷体"/>
          <w:sz w:val="28"/>
          <w:szCs w:val="28"/>
          <w:lang w:val="en-US"/>
        </w:rPr>
        <w:t>7</w:t>
      </w:r>
      <w:r>
        <w:rPr>
          <w:rFonts w:ascii="方正正纤黑简体" w:hAnsi="楷体" w:eastAsia="方正正纤黑简体" w:cs="楷体"/>
          <w:sz w:val="28"/>
          <w:szCs w:val="28"/>
        </w:rPr>
        <w:t>月～202</w:t>
      </w:r>
      <w:r>
        <w:rPr>
          <w:rFonts w:ascii="方正正纤黑简体" w:hAnsi="楷体" w:eastAsia="方正正纤黑简体" w:cs="楷体"/>
          <w:sz w:val="28"/>
          <w:szCs w:val="28"/>
          <w:lang w:val="en-US"/>
        </w:rPr>
        <w:t>5</w:t>
      </w:r>
      <w:r>
        <w:rPr>
          <w:rFonts w:ascii="方正正纤黑简体" w:hAnsi="楷体" w:eastAsia="方正正纤黑简体" w:cs="楷体"/>
          <w:spacing w:val="-61"/>
          <w:sz w:val="28"/>
          <w:szCs w:val="28"/>
        </w:rPr>
        <w:t xml:space="preserve"> </w:t>
      </w:r>
      <w:r>
        <w:rPr>
          <w:rFonts w:ascii="方正正纤黑简体" w:hAnsi="楷体" w:eastAsia="方正正纤黑简体" w:cs="楷体"/>
          <w:sz w:val="28"/>
          <w:szCs w:val="28"/>
        </w:rPr>
        <w:t>年</w:t>
      </w:r>
      <w:r>
        <w:rPr>
          <w:rFonts w:ascii="方正正纤黑简体" w:hAnsi="楷体" w:eastAsia="方正正纤黑简体" w:cs="楷体"/>
          <w:spacing w:val="-47"/>
          <w:sz w:val="28"/>
          <w:szCs w:val="28"/>
        </w:rPr>
        <w:t xml:space="preserve"> </w:t>
      </w:r>
      <w:r>
        <w:rPr>
          <w:rFonts w:ascii="方正正纤黑简体" w:hAnsi="楷体" w:eastAsia="方正正纤黑简体" w:cs="楷体"/>
          <w:spacing w:val="-47"/>
          <w:sz w:val="28"/>
          <w:szCs w:val="28"/>
          <w:lang w:val="en-US"/>
        </w:rPr>
        <w:t>6</w:t>
      </w:r>
      <w:r>
        <w:rPr>
          <w:rFonts w:ascii="方正正纤黑简体" w:hAnsi="楷体" w:eastAsia="方正正纤黑简体" w:cs="楷体"/>
          <w:sz w:val="28"/>
          <w:szCs w:val="28"/>
        </w:rPr>
        <w:t>月）</w:t>
      </w:r>
    </w:p>
    <w:p w14:paraId="17C789BB">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103" w:firstLineChars="200"/>
        <w:jc w:val="both"/>
        <w:textAlignment w:val="baseline"/>
        <w:rPr>
          <w:rFonts w:ascii="方正正纤黑简体" w:eastAsia="方正正纤黑简体"/>
          <w:spacing w:val="2"/>
          <w:sz w:val="28"/>
          <w:szCs w:val="28"/>
          <w:lang w:val="en-US"/>
        </w:rPr>
      </w:pPr>
      <w:r>
        <w:rPr>
          <w:rFonts w:ascii="方正正纤黑简体" w:eastAsia="方正正纤黑简体"/>
          <w:spacing w:val="2"/>
          <w:sz w:val="28"/>
          <w:szCs w:val="28"/>
          <w:lang w:val="en-US"/>
        </w:rPr>
        <w:t>2024</w:t>
      </w:r>
      <w:r>
        <w:rPr>
          <w:rFonts w:hint="eastAsia" w:ascii="方正正纤黑简体" w:eastAsia="方正正纤黑简体"/>
          <w:spacing w:val="2"/>
          <w:sz w:val="28"/>
          <w:szCs w:val="28"/>
          <w:lang w:val="en-US" w:eastAsia="zh-CN"/>
        </w:rPr>
        <w:t>年</w:t>
      </w:r>
      <w:r>
        <w:rPr>
          <w:rFonts w:hint="default" w:ascii="方正正纤黑简体" w:eastAsia="方正正纤黑简体"/>
          <w:spacing w:val="2"/>
          <w:sz w:val="28"/>
          <w:szCs w:val="28"/>
          <w:lang w:val="en-US" w:eastAsia="zh-CN"/>
        </w:rPr>
        <w:t>7</w:t>
      </w:r>
      <w:r>
        <w:rPr>
          <w:rFonts w:hint="eastAsia" w:ascii="方正正纤黑简体" w:eastAsia="方正正纤黑简体"/>
          <w:spacing w:val="2"/>
          <w:sz w:val="28"/>
          <w:szCs w:val="28"/>
          <w:lang w:val="en-US" w:eastAsia="zh-CN"/>
        </w:rPr>
        <w:t>月一</w:t>
      </w:r>
      <w:r>
        <w:rPr>
          <w:rFonts w:hint="default" w:ascii="方正正纤黑简体" w:eastAsia="方正正纤黑简体"/>
          <w:spacing w:val="2"/>
          <w:sz w:val="28"/>
          <w:szCs w:val="28"/>
          <w:lang w:val="en-US" w:eastAsia="zh-CN"/>
        </w:rPr>
        <w:t>2025</w:t>
      </w:r>
      <w:r>
        <w:rPr>
          <w:rFonts w:hint="eastAsia" w:ascii="方正正纤黑简体" w:eastAsia="方正正纤黑简体"/>
          <w:spacing w:val="2"/>
          <w:sz w:val="28"/>
          <w:szCs w:val="28"/>
          <w:lang w:val="en-US" w:eastAsia="zh-CN"/>
        </w:rPr>
        <w:t>年</w:t>
      </w:r>
      <w:r>
        <w:rPr>
          <w:rFonts w:hint="default" w:ascii="方正正纤黑简体" w:eastAsia="方正正纤黑简体"/>
          <w:spacing w:val="2"/>
          <w:sz w:val="28"/>
          <w:szCs w:val="28"/>
          <w:lang w:val="en-US" w:eastAsia="zh-CN"/>
        </w:rPr>
        <w:t>6</w:t>
      </w:r>
      <w:r>
        <w:rPr>
          <w:rFonts w:hint="eastAsia" w:ascii="方正正纤黑简体" w:eastAsia="方正正纤黑简体"/>
          <w:spacing w:val="2"/>
          <w:sz w:val="28"/>
          <w:szCs w:val="28"/>
          <w:lang w:val="en-US" w:eastAsia="zh-CN"/>
        </w:rPr>
        <w:t>月期间</w:t>
      </w:r>
      <w:r>
        <w:rPr>
          <w:rFonts w:ascii="方正正纤黑简体" w:eastAsia="方正正纤黑简体"/>
          <w:spacing w:val="2"/>
          <w:sz w:val="28"/>
          <w:szCs w:val="28"/>
          <w:lang w:val="en-US"/>
        </w:rPr>
        <w:t>，标准起草小组确定《药膳食品评价标准》标准框架，包含范围、规范性引用文件、术语和定义、评价指标体系、取值规则、评价结果形成规则、评价活动的组织实施等章节。</w:t>
      </w:r>
    </w:p>
    <w:p w14:paraId="48C1D924">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103" w:firstLineChars="200"/>
        <w:jc w:val="both"/>
        <w:textAlignment w:val="baseline"/>
        <w:rPr>
          <w:rFonts w:ascii="方正正纤黑简体" w:eastAsia="方正正纤黑简体"/>
          <w:sz w:val="28"/>
          <w:szCs w:val="28"/>
        </w:rPr>
      </w:pPr>
      <w:r>
        <w:rPr>
          <w:rFonts w:ascii="方正正纤黑简体" w:eastAsia="方正正纤黑简体"/>
          <w:spacing w:val="2"/>
          <w:sz w:val="28"/>
          <w:szCs w:val="28"/>
          <w:lang w:val="en-US"/>
        </w:rPr>
        <w:t>随后，起草小组多次组织内部讨论，并与中国民族卫生协会标委会专家就标准内容的科学性进行探讨，根据专家意见对标准内容进行调整完善，进一步明确了评价指标体系、取值规则等关键内容。</w:t>
      </w:r>
    </w:p>
    <w:p w14:paraId="1BB7B418">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z w:val="28"/>
          <w:szCs w:val="28"/>
        </w:rPr>
      </w:pPr>
      <w:r>
        <w:rPr>
          <w:rFonts w:ascii="方正正纤黑简体" w:hAnsi="楷体" w:eastAsia="方正正纤黑简体" w:cs="楷体"/>
          <w:spacing w:val="-1"/>
          <w:sz w:val="28"/>
          <w:szCs w:val="28"/>
        </w:rPr>
        <w:t>（三）研讨（202</w:t>
      </w:r>
      <w:r>
        <w:rPr>
          <w:rFonts w:ascii="方正正纤黑简体" w:hAnsi="楷体" w:eastAsia="方正正纤黑简体" w:cs="楷体"/>
          <w:spacing w:val="-1"/>
          <w:sz w:val="28"/>
          <w:szCs w:val="28"/>
          <w:lang w:val="en-US"/>
        </w:rPr>
        <w:t>5</w:t>
      </w:r>
      <w:r>
        <w:rPr>
          <w:rFonts w:ascii="方正正纤黑简体" w:hAnsi="楷体" w:eastAsia="方正正纤黑简体" w:cs="楷体"/>
          <w:spacing w:val="-1"/>
          <w:sz w:val="28"/>
          <w:szCs w:val="28"/>
        </w:rPr>
        <w:t>年</w:t>
      </w:r>
      <w:r>
        <w:rPr>
          <w:rFonts w:ascii="方正正纤黑简体" w:hAnsi="楷体" w:eastAsia="方正正纤黑简体" w:cs="楷体"/>
          <w:spacing w:val="-45"/>
          <w:sz w:val="28"/>
          <w:szCs w:val="28"/>
        </w:rPr>
        <w:t xml:space="preserve"> </w:t>
      </w:r>
      <w:r>
        <w:rPr>
          <w:rFonts w:ascii="方正正纤黑简体" w:hAnsi="楷体" w:eastAsia="方正正纤黑简体" w:cs="楷体"/>
          <w:spacing w:val="-45"/>
          <w:sz w:val="28"/>
          <w:szCs w:val="28"/>
          <w:lang w:val="en-US"/>
        </w:rPr>
        <w:t>7</w:t>
      </w:r>
      <w:r>
        <w:rPr>
          <w:rFonts w:ascii="方正正纤黑简体" w:hAnsi="楷体" w:eastAsia="方正正纤黑简体" w:cs="楷体"/>
          <w:spacing w:val="-47"/>
          <w:sz w:val="28"/>
          <w:szCs w:val="28"/>
        </w:rPr>
        <w:t xml:space="preserve"> </w:t>
      </w:r>
      <w:r>
        <w:rPr>
          <w:rFonts w:ascii="方正正纤黑简体" w:hAnsi="楷体" w:eastAsia="方正正纤黑简体" w:cs="楷体"/>
          <w:spacing w:val="-1"/>
          <w:sz w:val="28"/>
          <w:szCs w:val="28"/>
        </w:rPr>
        <w:t>月）</w:t>
      </w:r>
    </w:p>
    <w:p w14:paraId="2274A054">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eastAsia="方正正纤黑简体"/>
          <w:sz w:val="28"/>
          <w:szCs w:val="28"/>
        </w:rPr>
      </w:pPr>
      <w:r>
        <w:rPr>
          <w:rFonts w:ascii="方正正纤黑简体" w:eastAsia="方正正纤黑简体"/>
          <w:sz w:val="28"/>
          <w:szCs w:val="28"/>
          <w:lang w:val="en-US"/>
        </w:rPr>
        <w:t>在完成标准修订稿的基础上，起草小组开展了数次研讨，对照专家评审意见对草案进行逐条修改，形成征求意见稿。</w:t>
      </w:r>
    </w:p>
    <w:p w14:paraId="0763C7A7">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rPr>
          <w:rFonts w:ascii="方正正纤黑简体" w:hAnsi="黑体" w:eastAsia="方正正纤黑简体" w:cs="黑体"/>
          <w:sz w:val="28"/>
          <w:szCs w:val="28"/>
        </w:rPr>
      </w:pPr>
      <w:r>
        <w:rPr>
          <w:rFonts w:ascii="方正正纤黑简体" w:hAnsi="黑体" w:eastAsia="方正正纤黑简体" w:cs="黑体"/>
          <w:spacing w:val="8"/>
          <w:sz w:val="28"/>
          <w:szCs w:val="28"/>
        </w:rPr>
        <w:t>三、标准编制原则及主要技术内容确定</w:t>
      </w:r>
    </w:p>
    <w:p w14:paraId="0C2270A1">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z w:val="28"/>
          <w:szCs w:val="28"/>
          <w:lang w:val="en-US"/>
        </w:rPr>
      </w:pPr>
      <w:r>
        <w:rPr>
          <w:rFonts w:ascii="方正正纤黑简体" w:hAnsi="楷体" w:eastAsia="方正正纤黑简体" w:cs="楷体"/>
          <w:sz w:val="28"/>
          <w:szCs w:val="28"/>
          <w:lang w:val="en-US"/>
        </w:rPr>
        <w:t>（一）标准编制原则</w:t>
      </w:r>
    </w:p>
    <w:p w14:paraId="174E344E">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z w:val="28"/>
          <w:szCs w:val="28"/>
          <w:lang w:val="en-US"/>
        </w:rPr>
      </w:pPr>
      <w:r>
        <w:rPr>
          <w:rFonts w:ascii="方正正纤黑简体" w:hAnsi="楷体" w:eastAsia="方正正纤黑简体" w:cs="楷体"/>
          <w:sz w:val="28"/>
          <w:szCs w:val="28"/>
          <w:lang w:val="en-US"/>
        </w:rPr>
        <w:t>1. 本标准草案中的任何药膳食品评价规范，均以保障药膳食品的安全性、食养性与质量稳定性，规范药膳食品评价活动为前提而提出。</w:t>
      </w:r>
    </w:p>
    <w:p w14:paraId="7204EACB">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z w:val="28"/>
          <w:szCs w:val="28"/>
        </w:rPr>
      </w:pPr>
      <w:r>
        <w:rPr>
          <w:rFonts w:ascii="方正正纤黑简体" w:hAnsi="楷体" w:eastAsia="方正正纤黑简体" w:cs="楷体"/>
          <w:sz w:val="28"/>
          <w:szCs w:val="28"/>
          <w:lang w:val="en-US"/>
        </w:rPr>
        <w:t>2. 本标准编写严格遵循GB/T 1.1-2020《标准化工作导则 第1部分：标准化文件的结构和起草规则》要求，从标准的格式到内容、从语言文字到技术参数，均经过反复推敲、论证，确保标准具有实施的可行性和技术上的合理性，满足生产企业、评价机构、监管部门等相关方的需求。</w:t>
      </w:r>
    </w:p>
    <w:p w14:paraId="327C730D">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pacing w:val="6"/>
          <w:sz w:val="28"/>
          <w:szCs w:val="28"/>
          <w:lang w:val="en-US"/>
        </w:rPr>
      </w:pPr>
      <w:r>
        <w:rPr>
          <w:rFonts w:ascii="方正正纤黑简体" w:hAnsi="楷体" w:eastAsia="方正正纤黑简体" w:cs="楷体"/>
          <w:spacing w:val="6"/>
          <w:sz w:val="28"/>
          <w:szCs w:val="28"/>
          <w:lang w:val="en-US"/>
        </w:rPr>
        <w:t>（二）团体标准主要内容确定</w:t>
      </w:r>
    </w:p>
    <w:p w14:paraId="5435819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pacing w:val="6"/>
          <w:sz w:val="28"/>
          <w:szCs w:val="28"/>
          <w:lang w:val="en-US"/>
        </w:rPr>
      </w:pPr>
      <w:r>
        <w:rPr>
          <w:rFonts w:ascii="方正正纤黑简体" w:hAnsi="楷体" w:eastAsia="方正正纤黑简体" w:cs="楷体"/>
          <w:spacing w:val="6"/>
          <w:sz w:val="28"/>
          <w:szCs w:val="28"/>
          <w:lang w:val="en-US"/>
        </w:rPr>
        <w:t>本标准主要内容如下：</w:t>
      </w:r>
    </w:p>
    <w:p w14:paraId="DC5E816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pacing w:val="6"/>
          <w:sz w:val="28"/>
          <w:szCs w:val="28"/>
          <w:lang w:val="en-US"/>
        </w:rPr>
      </w:pPr>
      <w:r>
        <w:rPr>
          <w:rFonts w:ascii="方正正纤黑简体" w:hAnsi="楷体" w:eastAsia="方正正纤黑简体" w:cs="楷体"/>
          <w:spacing w:val="6"/>
          <w:sz w:val="28"/>
          <w:szCs w:val="28"/>
          <w:lang w:val="en-US"/>
        </w:rPr>
        <w:t>1. 范围：确立了药膳食品的术语和定义，规定了相关评价指标体系、取值规则等，明确了适用范围。</w:t>
      </w:r>
    </w:p>
    <w:p w14:paraId="E054C0A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pacing w:val="6"/>
          <w:sz w:val="28"/>
          <w:szCs w:val="28"/>
          <w:lang w:val="en-US"/>
        </w:rPr>
      </w:pPr>
      <w:r>
        <w:rPr>
          <w:rFonts w:ascii="方正正纤黑简体" w:hAnsi="楷体" w:eastAsia="方正正纤黑简体" w:cs="楷体"/>
          <w:spacing w:val="6"/>
          <w:sz w:val="28"/>
          <w:szCs w:val="28"/>
          <w:lang w:val="en-US"/>
        </w:rPr>
        <w:t>2. 规范性引用文件：列出构成本文件必不可少的条款的引用文件</w:t>
      </w:r>
      <w:r>
        <w:rPr>
          <w:rFonts w:hint="eastAsia" w:ascii="方正正纤黑简体" w:hAnsi="楷体" w:eastAsia="方正正纤黑简体" w:cs="楷体"/>
          <w:spacing w:val="6"/>
          <w:sz w:val="28"/>
          <w:szCs w:val="28"/>
          <w:lang w:val="en-US" w:eastAsia="zh-CN"/>
        </w:rPr>
        <w:t>。</w:t>
      </w:r>
    </w:p>
    <w:p w14:paraId="7CF3989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pacing w:val="6"/>
          <w:sz w:val="28"/>
          <w:szCs w:val="28"/>
          <w:lang w:val="en-US"/>
        </w:rPr>
      </w:pPr>
      <w:r>
        <w:rPr>
          <w:rFonts w:ascii="方正正纤黑简体" w:hAnsi="楷体" w:eastAsia="方正正纤黑简体" w:cs="楷体"/>
          <w:spacing w:val="6"/>
          <w:sz w:val="28"/>
          <w:szCs w:val="28"/>
          <w:lang w:val="en-US"/>
        </w:rPr>
        <w:t>3. 术语和定义：界定了食药物质、药膳食品、一票否决项等相关术语。</w:t>
      </w:r>
    </w:p>
    <w:p w14:paraId="3213738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pacing w:val="6"/>
          <w:sz w:val="28"/>
          <w:szCs w:val="28"/>
          <w:lang w:val="en-US"/>
        </w:rPr>
      </w:pPr>
      <w:r>
        <w:rPr>
          <w:rFonts w:ascii="方正正纤黑简体" w:hAnsi="楷体" w:eastAsia="方正正纤黑简体" w:cs="楷体"/>
          <w:spacing w:val="6"/>
          <w:sz w:val="28"/>
          <w:szCs w:val="28"/>
          <w:lang w:val="en-US"/>
        </w:rPr>
        <w:t>4. 评价指标体系：明确由三个层级的评价指标构成，包括一级指标5个，二级指标14个，三级指标42个。</w:t>
      </w:r>
    </w:p>
    <w:p w14:paraId="B1A7660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pacing w:val="6"/>
          <w:sz w:val="28"/>
          <w:szCs w:val="28"/>
          <w:lang w:val="en-US"/>
        </w:rPr>
      </w:pPr>
      <w:r>
        <w:rPr>
          <w:rFonts w:ascii="方正正纤黑简体" w:hAnsi="楷体" w:eastAsia="方正正纤黑简体" w:cs="楷体"/>
          <w:spacing w:val="6"/>
          <w:sz w:val="28"/>
          <w:szCs w:val="28"/>
          <w:lang w:val="en-US"/>
        </w:rPr>
        <w:t>5. 取值规则：规定了评分方式、一票否决项、动态权重调节机制及各级指标取值规则。</w:t>
      </w:r>
    </w:p>
    <w:p w14:paraId="E83370C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pacing w:val="6"/>
          <w:sz w:val="28"/>
          <w:szCs w:val="28"/>
          <w:lang w:val="en-US"/>
        </w:rPr>
      </w:pPr>
      <w:r>
        <w:rPr>
          <w:rFonts w:ascii="方正正纤黑简体" w:hAnsi="楷体" w:eastAsia="方正正纤黑简体" w:cs="楷体"/>
          <w:spacing w:val="6"/>
          <w:sz w:val="28"/>
          <w:szCs w:val="28"/>
          <w:lang w:val="en-US"/>
        </w:rPr>
        <w:t>6. 评价结果形成规则：说明了等级划分、结果复核与争议处理等内容。</w:t>
      </w:r>
    </w:p>
    <w:p w14:paraId="64861E1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楷体" w:eastAsia="方正正纤黑简体" w:cs="楷体"/>
          <w:spacing w:val="6"/>
          <w:sz w:val="28"/>
          <w:szCs w:val="28"/>
          <w:lang w:val="en-US"/>
        </w:rPr>
      </w:pPr>
      <w:r>
        <w:rPr>
          <w:rFonts w:ascii="方正正纤黑简体" w:hAnsi="楷体" w:eastAsia="方正正纤黑简体" w:cs="楷体"/>
          <w:spacing w:val="6"/>
          <w:sz w:val="28"/>
          <w:szCs w:val="28"/>
          <w:lang w:val="en-US"/>
        </w:rPr>
        <w:t>7. 评价活动的组织实施：阐述了组织架构、实施流程、人员管理、第三方检验标准体系等。</w:t>
      </w:r>
    </w:p>
    <w:p w14:paraId="D370B11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hAnsi="黑体" w:eastAsia="方正正纤黑简体" w:cs="黑体"/>
          <w:spacing w:val="7"/>
          <w:sz w:val="28"/>
          <w:szCs w:val="28"/>
        </w:rPr>
      </w:pPr>
      <w:r>
        <w:rPr>
          <w:rFonts w:ascii="方正正纤黑简体" w:hAnsi="黑体" w:eastAsia="方正正纤黑简体" w:cs="黑体"/>
          <w:spacing w:val="7"/>
          <w:sz w:val="28"/>
          <w:szCs w:val="28"/>
        </w:rPr>
        <w:t>四、采用国际、国内标准情况</w:t>
      </w:r>
    </w:p>
    <w:p w14:paraId="3E30E63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outlineLvl w:val="0"/>
        <w:rPr>
          <w:rFonts w:ascii="方正正纤黑简体" w:eastAsia="方正正纤黑简体"/>
          <w:sz w:val="28"/>
          <w:szCs w:val="28"/>
        </w:rPr>
      </w:pPr>
      <w:r>
        <w:rPr>
          <w:rFonts w:ascii="方正正纤黑简体" w:eastAsia="方正正纤黑简体"/>
          <w:sz w:val="28"/>
          <w:szCs w:val="28"/>
          <w:lang w:val="en-US"/>
        </w:rPr>
        <w:t>无直接采用的国际标准，国内参考了《中华人民共和国食品安全法》、GB 2760等一系列相关国家标准及文件。</w:t>
      </w:r>
    </w:p>
    <w:p w14:paraId="17646F1D">
      <w:pPr>
        <w:pStyle w:val="7"/>
        <w:keepNext w:val="0"/>
        <w:keepLines w:val="0"/>
        <w:pageBreakBefore w:val="0"/>
        <w:widowControl/>
        <w:numPr>
          <w:ilvl w:val="0"/>
          <w:numId w:val="4"/>
        </w:numPr>
        <w:kinsoku w:val="0"/>
        <w:wordWrap/>
        <w:overflowPunct/>
        <w:topLinePunct w:val="0"/>
        <w:autoSpaceDE w:val="0"/>
        <w:autoSpaceDN w:val="0"/>
        <w:bidi w:val="0"/>
        <w:adjustRightInd w:val="0"/>
        <w:snapToGrid w:val="0"/>
        <w:spacing w:after="0" w:line="360" w:lineRule="auto"/>
        <w:ind w:firstLineChars="0"/>
        <w:textAlignment w:val="baseline"/>
        <w:rPr>
          <w:rFonts w:ascii="方正正纤黑简体" w:eastAsia="方正正纤黑简体"/>
          <w:sz w:val="28"/>
          <w:szCs w:val="28"/>
        </w:rPr>
      </w:pPr>
      <w:r>
        <w:rPr>
          <w:rFonts w:ascii="方正正纤黑简体" w:hAnsi="黑体" w:eastAsia="方正正纤黑简体" w:cs="黑体"/>
          <w:spacing w:val="8"/>
          <w:sz w:val="28"/>
          <w:szCs w:val="28"/>
        </w:rPr>
        <w:t>与现行法律法规和强制性标准的关系</w:t>
      </w:r>
    </w:p>
    <w:p w14:paraId="28659031">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Chars="200"/>
        <w:textAlignment w:val="baseline"/>
        <w:rPr>
          <w:rFonts w:ascii="方正正纤黑简体" w:eastAsia="方正正纤黑简体"/>
          <w:sz w:val="28"/>
          <w:szCs w:val="28"/>
        </w:rPr>
      </w:pPr>
      <w:r>
        <w:rPr>
          <w:rFonts w:hint="default" w:ascii="方正正纤黑简体" w:hAnsi="仿宋" w:eastAsia="方正正纤黑简体" w:cs="仿宋"/>
          <w:b w:val="0"/>
          <w:bCs w:val="0"/>
          <w:i w:val="0"/>
          <w:iCs w:val="0"/>
          <w:snapToGrid w:val="0"/>
          <w:color w:val="000000"/>
          <w:spacing w:val="8"/>
          <w:kern w:val="0"/>
          <w:sz w:val="28"/>
          <w:szCs w:val="28"/>
          <w:highlight w:val="none"/>
          <w:vertAlign w:val="baseline"/>
          <w:lang w:val="en-US" w:eastAsia="en-US" w:bidi="ar-SA"/>
        </w:rPr>
        <w:t>本标准与现行有关法律法规和强制性标准协调一致。</w:t>
      </w:r>
      <w:r>
        <w:rPr>
          <w:rFonts w:hint="default" w:ascii="方正正纤黑简体" w:hAnsi="仿宋" w:eastAsia="方正正纤黑简体" w:cs="仿宋"/>
          <w:b w:val="0"/>
          <w:bCs w:val="0"/>
          <w:i w:val="0"/>
          <w:iCs w:val="0"/>
          <w:snapToGrid w:val="0"/>
          <w:color w:val="000000"/>
          <w:spacing w:val="-6"/>
          <w:kern w:val="0"/>
          <w:sz w:val="28"/>
          <w:szCs w:val="28"/>
          <w:highlight w:val="none"/>
          <w:vertAlign w:val="baseline"/>
          <w:lang w:val="en-US" w:eastAsia="en-US" w:bidi="ar-SA"/>
        </w:rPr>
        <w:t>规范的起草</w:t>
      </w:r>
      <w:r>
        <w:rPr>
          <w:rFonts w:hint="eastAsia" w:ascii="方正正纤黑简体" w:hAnsi="仿宋" w:eastAsia="方正正纤黑简体" w:cs="仿宋"/>
          <w:b w:val="0"/>
          <w:bCs w:val="0"/>
          <w:i w:val="0"/>
          <w:iCs w:val="0"/>
          <w:snapToGrid w:val="0"/>
          <w:color w:val="000000"/>
          <w:spacing w:val="-6"/>
          <w:kern w:val="0"/>
          <w:sz w:val="28"/>
          <w:szCs w:val="28"/>
          <w:highlight w:val="none"/>
          <w:vertAlign w:val="baseline"/>
          <w:lang w:val="en-US" w:eastAsia="zh-CN" w:bidi="ar-SA"/>
        </w:rPr>
        <w:t>、</w:t>
      </w:r>
      <w:r>
        <w:rPr>
          <w:rFonts w:hint="default" w:ascii="方正正纤黑简体" w:hAnsi="仿宋" w:eastAsia="方正正纤黑简体" w:cs="仿宋"/>
          <w:b w:val="0"/>
          <w:bCs w:val="0"/>
          <w:i w:val="0"/>
          <w:iCs w:val="0"/>
          <w:snapToGrid w:val="0"/>
          <w:color w:val="000000"/>
          <w:spacing w:val="-6"/>
          <w:kern w:val="0"/>
          <w:sz w:val="28"/>
          <w:szCs w:val="28"/>
          <w:highlight w:val="none"/>
          <w:vertAlign w:val="baseline"/>
          <w:lang w:val="en-US" w:eastAsia="en-US" w:bidi="ar-SA"/>
        </w:rPr>
        <w:t>编写格式符合</w:t>
      </w:r>
      <w:r>
        <w:rPr>
          <w:rFonts w:hint="default" w:ascii="方正正纤黑简体" w:hAnsi="仿宋" w:eastAsia="方正正纤黑简体" w:cs="仿宋"/>
          <w:b w:val="0"/>
          <w:bCs w:val="0"/>
          <w:i w:val="0"/>
          <w:iCs w:val="0"/>
          <w:snapToGrid w:val="0"/>
          <w:color w:val="000000"/>
          <w:spacing w:val="-64"/>
          <w:kern w:val="0"/>
          <w:sz w:val="28"/>
          <w:szCs w:val="28"/>
          <w:highlight w:val="none"/>
          <w:vertAlign w:val="baseline"/>
          <w:lang w:val="en-US" w:eastAsia="en-US" w:bidi="ar-SA"/>
        </w:rPr>
        <w:t xml:space="preserve"> </w:t>
      </w:r>
      <w:r>
        <w:rPr>
          <w:rFonts w:hint="default" w:ascii="方正正纤黑简体" w:hAnsi="仿宋" w:eastAsia="方正正纤黑简体" w:cs="仿宋"/>
          <w:b w:val="0"/>
          <w:bCs w:val="0"/>
          <w:i w:val="0"/>
          <w:iCs w:val="0"/>
          <w:snapToGrid w:val="0"/>
          <w:color w:val="000000"/>
          <w:spacing w:val="-6"/>
          <w:kern w:val="0"/>
          <w:sz w:val="28"/>
          <w:szCs w:val="28"/>
          <w:highlight w:val="none"/>
          <w:vertAlign w:val="baseline"/>
          <w:lang w:val="en-US" w:eastAsia="en-US" w:bidi="ar-SA"/>
        </w:rPr>
        <w:t xml:space="preserve">GB/T1.1-2020《标准化工导则 </w:t>
      </w:r>
      <w:r>
        <w:rPr>
          <w:rFonts w:hint="default" w:ascii="方正正纤黑简体" w:hAnsi="仿宋" w:eastAsia="方正正纤黑简体" w:cs="仿宋"/>
          <w:b w:val="0"/>
          <w:bCs w:val="0"/>
          <w:i w:val="0"/>
          <w:iCs w:val="0"/>
          <w:snapToGrid w:val="0"/>
          <w:color w:val="000000"/>
          <w:spacing w:val="-7"/>
          <w:kern w:val="0"/>
          <w:sz w:val="28"/>
          <w:szCs w:val="28"/>
          <w:highlight w:val="none"/>
          <w:vertAlign w:val="baseline"/>
          <w:lang w:val="en-US" w:eastAsia="en-US" w:bidi="ar-SA"/>
        </w:rPr>
        <w:t xml:space="preserve"> 第</w:t>
      </w:r>
      <w:r>
        <w:rPr>
          <w:rFonts w:hint="default" w:ascii="方正正纤黑简体" w:hAnsi="仿宋" w:eastAsia="方正正纤黑简体" w:cs="仿宋"/>
          <w:b w:val="0"/>
          <w:bCs w:val="0"/>
          <w:i w:val="0"/>
          <w:iCs w:val="0"/>
          <w:snapToGrid w:val="0"/>
          <w:color w:val="000000"/>
          <w:spacing w:val="-40"/>
          <w:kern w:val="0"/>
          <w:sz w:val="28"/>
          <w:szCs w:val="28"/>
          <w:highlight w:val="none"/>
          <w:vertAlign w:val="baseline"/>
          <w:lang w:val="en-US" w:eastAsia="en-US" w:bidi="ar-SA"/>
        </w:rPr>
        <w:t xml:space="preserve"> </w:t>
      </w:r>
      <w:r>
        <w:rPr>
          <w:rFonts w:hint="default" w:ascii="方正正纤黑简体" w:hAnsi="仿宋" w:eastAsia="方正正纤黑简体" w:cs="仿宋"/>
          <w:b w:val="0"/>
          <w:bCs w:val="0"/>
          <w:i w:val="0"/>
          <w:iCs w:val="0"/>
          <w:snapToGrid w:val="0"/>
          <w:color w:val="000000"/>
          <w:spacing w:val="-7"/>
          <w:kern w:val="0"/>
          <w:sz w:val="28"/>
          <w:szCs w:val="28"/>
          <w:highlight w:val="none"/>
          <w:vertAlign w:val="baseline"/>
          <w:lang w:val="en-US" w:eastAsia="en-US" w:bidi="ar-SA"/>
        </w:rPr>
        <w:t>1</w:t>
      </w:r>
      <w:r>
        <w:rPr>
          <w:rFonts w:hint="default" w:ascii="方正正纤黑简体" w:hAnsi="仿宋" w:eastAsia="方正正纤黑简体" w:cs="仿宋"/>
          <w:b w:val="0"/>
          <w:bCs w:val="0"/>
          <w:i w:val="0"/>
          <w:iCs w:val="0"/>
          <w:snapToGrid w:val="0"/>
          <w:color w:val="000000"/>
          <w:spacing w:val="-52"/>
          <w:kern w:val="0"/>
          <w:sz w:val="28"/>
          <w:szCs w:val="28"/>
          <w:highlight w:val="none"/>
          <w:vertAlign w:val="baseline"/>
          <w:lang w:val="en-US" w:eastAsia="en-US" w:bidi="ar-SA"/>
        </w:rPr>
        <w:t xml:space="preserve"> </w:t>
      </w:r>
      <w:r>
        <w:rPr>
          <w:rFonts w:hint="default" w:ascii="方正正纤黑简体" w:hAnsi="仿宋" w:eastAsia="方正正纤黑简体" w:cs="仿宋"/>
          <w:b w:val="0"/>
          <w:bCs w:val="0"/>
          <w:i w:val="0"/>
          <w:iCs w:val="0"/>
          <w:snapToGrid w:val="0"/>
          <w:color w:val="000000"/>
          <w:spacing w:val="-7"/>
          <w:kern w:val="0"/>
          <w:sz w:val="28"/>
          <w:szCs w:val="28"/>
          <w:highlight w:val="none"/>
          <w:vertAlign w:val="baseline"/>
          <w:lang w:val="en-US" w:eastAsia="en-US" w:bidi="ar-SA"/>
        </w:rPr>
        <w:t>部分</w:t>
      </w:r>
      <w:r>
        <w:rPr>
          <w:rFonts w:hint="eastAsia" w:ascii="方正正纤黑简体" w:hAnsi="仿宋" w:eastAsia="方正正纤黑简体" w:cs="仿宋"/>
          <w:b w:val="0"/>
          <w:bCs w:val="0"/>
          <w:i w:val="0"/>
          <w:iCs w:val="0"/>
          <w:snapToGrid w:val="0"/>
          <w:color w:val="000000"/>
          <w:spacing w:val="-7"/>
          <w:kern w:val="0"/>
          <w:sz w:val="28"/>
          <w:szCs w:val="28"/>
          <w:highlight w:val="none"/>
          <w:vertAlign w:val="baseline"/>
          <w:lang w:val="en-US" w:eastAsia="zh-CN" w:bidi="ar-SA"/>
        </w:rPr>
        <w:t>：</w:t>
      </w:r>
      <w:r>
        <w:rPr>
          <w:rFonts w:hint="default" w:ascii="方正正纤黑简体" w:hAnsi="仿宋" w:eastAsia="方正正纤黑简体" w:cs="仿宋"/>
          <w:b w:val="0"/>
          <w:bCs w:val="0"/>
          <w:i w:val="0"/>
          <w:iCs w:val="0"/>
          <w:snapToGrid w:val="0"/>
          <w:color w:val="000000"/>
          <w:spacing w:val="1"/>
          <w:kern w:val="0"/>
          <w:sz w:val="28"/>
          <w:szCs w:val="28"/>
          <w:highlight w:val="none"/>
          <w:vertAlign w:val="baseline"/>
          <w:lang w:val="en-US" w:eastAsia="en-US" w:bidi="ar-SA"/>
        </w:rPr>
        <w:t>标准化文件的结构和起草规则》、</w:t>
      </w:r>
      <w:r>
        <w:rPr>
          <w:rFonts w:hint="default" w:ascii="方正正纤黑简体" w:hAnsi="仿宋" w:eastAsia="方正正纤黑简体" w:cs="仿宋"/>
          <w:b w:val="0"/>
          <w:bCs w:val="0"/>
          <w:i w:val="0"/>
          <w:iCs w:val="0"/>
          <w:snapToGrid w:val="0"/>
          <w:color w:val="000000"/>
          <w:kern w:val="0"/>
          <w:sz w:val="28"/>
          <w:szCs w:val="28"/>
          <w:highlight w:val="none"/>
          <w:vertAlign w:val="baseline"/>
          <w:lang w:val="en-US" w:eastAsia="en-US" w:bidi="ar-SA"/>
        </w:rPr>
        <w:t>GB</w:t>
      </w:r>
      <w:r>
        <w:rPr>
          <w:rFonts w:hint="default" w:ascii="方正正纤黑简体" w:hAnsi="仿宋" w:eastAsia="方正正纤黑简体" w:cs="仿宋"/>
          <w:b w:val="0"/>
          <w:bCs w:val="0"/>
          <w:i w:val="0"/>
          <w:iCs w:val="0"/>
          <w:snapToGrid w:val="0"/>
          <w:color w:val="000000"/>
          <w:spacing w:val="1"/>
          <w:kern w:val="0"/>
          <w:sz w:val="28"/>
          <w:szCs w:val="28"/>
          <w:highlight w:val="none"/>
          <w:vertAlign w:val="baseline"/>
          <w:lang w:val="en-US" w:eastAsia="en-US" w:bidi="ar-SA"/>
        </w:rPr>
        <w:t>/T1.2-2002《标准化工导则  第</w:t>
      </w:r>
      <w:r>
        <w:rPr>
          <w:rFonts w:hint="default" w:ascii="方正正纤黑简体" w:hAnsi="仿宋" w:eastAsia="方正正纤黑简体" w:cs="仿宋"/>
          <w:b w:val="0"/>
          <w:bCs w:val="0"/>
          <w:i w:val="0"/>
          <w:iCs w:val="0"/>
          <w:snapToGrid w:val="0"/>
          <w:color w:val="000000"/>
          <w:spacing w:val="-39"/>
          <w:kern w:val="0"/>
          <w:sz w:val="28"/>
          <w:szCs w:val="28"/>
          <w:highlight w:val="none"/>
          <w:vertAlign w:val="baseline"/>
          <w:lang w:val="en-US" w:eastAsia="en-US" w:bidi="ar-SA"/>
        </w:rPr>
        <w:t xml:space="preserve"> </w:t>
      </w:r>
      <w:r>
        <w:rPr>
          <w:rFonts w:hint="default" w:ascii="方正正纤黑简体" w:hAnsi="仿宋" w:eastAsia="方正正纤黑简体" w:cs="仿宋"/>
          <w:b w:val="0"/>
          <w:bCs w:val="0"/>
          <w:i w:val="0"/>
          <w:iCs w:val="0"/>
          <w:snapToGrid w:val="0"/>
          <w:color w:val="000000"/>
          <w:spacing w:val="1"/>
          <w:kern w:val="0"/>
          <w:sz w:val="28"/>
          <w:szCs w:val="28"/>
          <w:highlight w:val="none"/>
          <w:vertAlign w:val="baseline"/>
          <w:lang w:val="en-US" w:eastAsia="en-US" w:bidi="ar-SA"/>
        </w:rPr>
        <w:t>2</w:t>
      </w:r>
      <w:r>
        <w:rPr>
          <w:rFonts w:hint="default" w:ascii="方正正纤黑简体" w:hAnsi="仿宋" w:eastAsia="方正正纤黑简体" w:cs="仿宋"/>
          <w:b w:val="0"/>
          <w:bCs w:val="0"/>
          <w:i w:val="0"/>
          <w:iCs w:val="0"/>
          <w:snapToGrid w:val="0"/>
          <w:color w:val="000000"/>
          <w:spacing w:val="-47"/>
          <w:kern w:val="0"/>
          <w:sz w:val="28"/>
          <w:szCs w:val="28"/>
          <w:highlight w:val="none"/>
          <w:vertAlign w:val="baseline"/>
          <w:lang w:val="en-US" w:eastAsia="en-US" w:bidi="ar-SA"/>
        </w:rPr>
        <w:t xml:space="preserve"> </w:t>
      </w:r>
      <w:r>
        <w:rPr>
          <w:rFonts w:hint="default" w:ascii="方正正纤黑简体" w:hAnsi="仿宋" w:eastAsia="方正正纤黑简体" w:cs="仿宋"/>
          <w:b w:val="0"/>
          <w:bCs w:val="0"/>
          <w:i w:val="0"/>
          <w:iCs w:val="0"/>
          <w:snapToGrid w:val="0"/>
          <w:color w:val="000000"/>
          <w:spacing w:val="1"/>
          <w:kern w:val="0"/>
          <w:sz w:val="28"/>
          <w:szCs w:val="28"/>
          <w:highlight w:val="none"/>
          <w:vertAlign w:val="baseline"/>
          <w:lang w:val="en-US" w:eastAsia="en-US" w:bidi="ar-SA"/>
        </w:rPr>
        <w:t>部</w:t>
      </w:r>
      <w:r>
        <w:rPr>
          <w:rFonts w:hint="default" w:ascii="方正正纤黑简体" w:hAnsi="仿宋" w:eastAsia="方正正纤黑简体" w:cs="仿宋"/>
          <w:b w:val="0"/>
          <w:bCs w:val="0"/>
          <w:i w:val="0"/>
          <w:iCs w:val="0"/>
          <w:snapToGrid w:val="0"/>
          <w:color w:val="000000"/>
          <w:spacing w:val="-1"/>
          <w:kern w:val="0"/>
          <w:sz w:val="28"/>
          <w:szCs w:val="28"/>
          <w:highlight w:val="none"/>
          <w:vertAlign w:val="baseline"/>
          <w:lang w:val="en-US" w:eastAsia="en-US" w:bidi="ar-SA"/>
        </w:rPr>
        <w:t>分：标准中规范性技术要素内容的确定方法》的规格。</w:t>
      </w:r>
    </w:p>
    <w:p w14:paraId="3997E452">
      <w:pPr>
        <w:pStyle w:val="7"/>
        <w:keepNext w:val="0"/>
        <w:keepLines w:val="0"/>
        <w:pageBreakBefore w:val="0"/>
        <w:widowControl/>
        <w:numPr>
          <w:ilvl w:val="0"/>
          <w:numId w:val="4"/>
        </w:numPr>
        <w:kinsoku w:val="0"/>
        <w:wordWrap/>
        <w:overflowPunct/>
        <w:topLinePunct w:val="0"/>
        <w:autoSpaceDE w:val="0"/>
        <w:autoSpaceDN w:val="0"/>
        <w:bidi w:val="0"/>
        <w:adjustRightInd w:val="0"/>
        <w:snapToGrid w:val="0"/>
        <w:spacing w:after="0" w:line="360" w:lineRule="auto"/>
        <w:ind w:firstLineChars="0"/>
        <w:textAlignment w:val="baseline"/>
        <w:rPr>
          <w:rFonts w:ascii="方正正纤黑简体" w:hAnsi="黑体" w:eastAsia="方正正纤黑简体" w:cs="黑体"/>
          <w:sz w:val="28"/>
          <w:szCs w:val="28"/>
        </w:rPr>
      </w:pPr>
      <w:r>
        <w:rPr>
          <w:rFonts w:ascii="方正正纤黑简体" w:hAnsi="黑体" w:eastAsia="方正正纤黑简体" w:cs="黑体"/>
          <w:spacing w:val="7"/>
          <w:sz w:val="28"/>
          <w:szCs w:val="28"/>
        </w:rPr>
        <w:t>重大分歧意见</w:t>
      </w:r>
      <w:r>
        <w:rPr>
          <w:rFonts w:hint="eastAsia" w:ascii="方正正纤黑简体" w:hAnsi="黑体" w:eastAsia="宋体" w:cs="黑体"/>
          <w:spacing w:val="7"/>
          <w:sz w:val="28"/>
          <w:szCs w:val="28"/>
          <w:lang w:val="en-US" w:eastAsia="zh-CN"/>
        </w:rPr>
        <w:t>处理</w:t>
      </w:r>
      <w:r>
        <w:rPr>
          <w:rFonts w:ascii="方正正纤黑简体" w:hAnsi="黑体" w:eastAsia="方正正纤黑简体" w:cs="黑体"/>
          <w:spacing w:val="5"/>
          <w:sz w:val="28"/>
          <w:szCs w:val="28"/>
        </w:rPr>
        <w:t xml:space="preserve"> </w:t>
      </w:r>
    </w:p>
    <w:p w14:paraId="7516CC12">
      <w:pPr>
        <w:pStyle w:val="7"/>
        <w:keepNext w:val="0"/>
        <w:keepLines w:val="0"/>
        <w:pageBreakBefore w:val="0"/>
        <w:widowControl/>
        <w:numPr>
          <w:numId w:val="0"/>
        </w:numPr>
        <w:kinsoku w:val="0"/>
        <w:wordWrap/>
        <w:overflowPunct/>
        <w:topLinePunct w:val="0"/>
        <w:autoSpaceDE w:val="0"/>
        <w:autoSpaceDN w:val="0"/>
        <w:bidi w:val="0"/>
        <w:adjustRightInd w:val="0"/>
        <w:snapToGrid w:val="0"/>
        <w:spacing w:after="0" w:line="360" w:lineRule="auto"/>
        <w:ind w:left="560" w:leftChars="0"/>
        <w:textAlignment w:val="baseline"/>
        <w:rPr>
          <w:rFonts w:hint="eastAsia" w:ascii="方正正纤黑简体" w:hAnsi="黑体" w:eastAsia="宋体" w:cs="黑体"/>
          <w:sz w:val="28"/>
          <w:szCs w:val="28"/>
          <w:lang w:val="en-US" w:eastAsia="zh-CN"/>
        </w:rPr>
      </w:pPr>
      <w:r>
        <w:rPr>
          <w:rFonts w:hint="eastAsia" w:ascii="方正正纤黑简体" w:hAnsi="黑体" w:eastAsia="宋体" w:cs="黑体"/>
          <w:spacing w:val="5"/>
          <w:sz w:val="28"/>
          <w:szCs w:val="28"/>
          <w:lang w:val="en-US" w:eastAsia="zh-CN"/>
        </w:rPr>
        <w:t>无</w:t>
      </w:r>
    </w:p>
    <w:p w14:paraId="42E38811">
      <w:pPr>
        <w:pStyle w:val="7"/>
        <w:keepNext w:val="0"/>
        <w:keepLines w:val="0"/>
        <w:pageBreakBefore w:val="0"/>
        <w:widowControl/>
        <w:numPr>
          <w:ilvl w:val="0"/>
          <w:numId w:val="4"/>
        </w:numPr>
        <w:kinsoku w:val="0"/>
        <w:wordWrap/>
        <w:overflowPunct/>
        <w:topLinePunct w:val="0"/>
        <w:autoSpaceDE w:val="0"/>
        <w:autoSpaceDN w:val="0"/>
        <w:bidi w:val="0"/>
        <w:adjustRightInd w:val="0"/>
        <w:snapToGrid w:val="0"/>
        <w:spacing w:after="0" w:line="360" w:lineRule="auto"/>
        <w:ind w:firstLineChars="0"/>
        <w:textAlignment w:val="baseline"/>
        <w:rPr>
          <w:rFonts w:ascii="方正正纤黑简体" w:hAnsi="黑体" w:eastAsia="方正正纤黑简体" w:cs="黑体"/>
          <w:sz w:val="28"/>
          <w:szCs w:val="28"/>
        </w:rPr>
      </w:pPr>
      <w:r>
        <w:rPr>
          <w:rFonts w:ascii="方正正纤黑简体" w:hAnsi="黑体" w:eastAsia="方正正纤黑简体" w:cs="黑体"/>
          <w:spacing w:val="9"/>
          <w:sz w:val="28"/>
          <w:szCs w:val="28"/>
        </w:rPr>
        <w:t>标准作为强制性或推荐性标准发布的意见</w:t>
      </w:r>
      <w:r>
        <w:rPr>
          <w:rFonts w:ascii="方正正纤黑简体" w:hAnsi="黑体" w:eastAsia="方正正纤黑简体" w:cs="黑体"/>
          <w:spacing w:val="8"/>
          <w:sz w:val="28"/>
          <w:szCs w:val="28"/>
        </w:rPr>
        <w:t xml:space="preserve"> </w:t>
      </w:r>
    </w:p>
    <w:p w14:paraId="6FA8DFC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240" w:lineRule="auto"/>
        <w:ind w:leftChars="0" w:right="0" w:rightChars="0" w:firstLine="532" w:firstLineChars="200"/>
        <w:textAlignment w:val="baseline"/>
        <w:rPr>
          <w:rFonts w:ascii="方正正纤黑简体" w:hAnsi="黑体" w:eastAsia="方正正纤黑简体" w:cs="黑体"/>
          <w:sz w:val="28"/>
          <w:szCs w:val="28"/>
        </w:rPr>
      </w:pPr>
      <w:r>
        <w:rPr>
          <w:rFonts w:ascii="方正正纤黑简体" w:eastAsia="方正正纤黑简体"/>
          <w:spacing w:val="-7"/>
          <w:sz w:val="28"/>
          <w:szCs w:val="28"/>
        </w:rPr>
        <w:t>推荐性</w:t>
      </w:r>
    </w:p>
    <w:p w14:paraId="692CBD2F">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after="0" w:line="360" w:lineRule="auto"/>
        <w:ind w:right="5232"/>
        <w:textAlignment w:val="baseline"/>
        <w:rPr>
          <w:rFonts w:ascii="方正正纤黑简体" w:hAnsi="黑体" w:eastAsia="方正正纤黑简体" w:cs="黑体"/>
          <w:spacing w:val="-3"/>
          <w:sz w:val="28"/>
          <w:szCs w:val="28"/>
          <w:lang w:val="en-US"/>
        </w:rPr>
      </w:pPr>
      <w:r>
        <w:rPr>
          <w:rFonts w:ascii="方正正纤黑简体" w:hAnsi="黑体" w:eastAsia="方正正纤黑简体" w:cs="黑体"/>
          <w:spacing w:val="8"/>
          <w:sz w:val="28"/>
          <w:szCs w:val="28"/>
        </w:rPr>
        <w:t>贯彻标准的建议</w:t>
      </w:r>
    </w:p>
    <w:p w14:paraId="4BA2592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right="5232" w:firstLineChars="200"/>
        <w:textAlignment w:val="baseline"/>
        <w:rPr>
          <w:rFonts w:ascii="方正正纤黑简体" w:hAnsi="黑体" w:eastAsia="方正正纤黑简体" w:cs="黑体"/>
          <w:spacing w:val="-3"/>
          <w:sz w:val="28"/>
          <w:szCs w:val="28"/>
          <w:lang w:val="en-US"/>
        </w:rPr>
      </w:pPr>
      <w:r>
        <w:rPr>
          <w:rFonts w:ascii="方正正纤黑简体" w:hAnsi="黑体" w:eastAsia="方正正纤黑简体" w:cs="黑体"/>
          <w:spacing w:val="-3"/>
          <w:sz w:val="28"/>
          <w:szCs w:val="28"/>
          <w:lang w:val="en-US"/>
        </w:rPr>
        <w:t>实施推广建议：</w:t>
      </w:r>
    </w:p>
    <w:p w14:paraId="4271869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right="0" w:firstLineChars="200"/>
        <w:textAlignment w:val="baseline"/>
        <w:rPr>
          <w:rFonts w:ascii="方正正纤黑简体" w:hAnsi="黑体" w:eastAsia="方正正纤黑简体" w:cs="黑体"/>
          <w:spacing w:val="-3"/>
          <w:sz w:val="28"/>
          <w:szCs w:val="28"/>
          <w:lang w:val="en-US"/>
        </w:rPr>
      </w:pPr>
      <w:r>
        <w:rPr>
          <w:rFonts w:ascii="方正正纤黑简体" w:hAnsi="黑体" w:eastAsia="方正正纤黑简体" w:cs="黑体"/>
          <w:spacing w:val="-3"/>
          <w:sz w:val="28"/>
          <w:szCs w:val="28"/>
          <w:lang w:val="en-US"/>
        </w:rPr>
        <w:t>注重标准内容宣贯，确保标准得到推广和应用。加强对《药膳食品评价标准》贯彻落实的考核验收工作，通过报纸、网络等媒介，提升标准在社会中的影响力，形成长效机制。选取参与起草和征求意见单位率先实施标准，总结经验，对取得良好效果的单位和个人实施奖励，吸引其他企业积极参与使用。</w:t>
      </w:r>
    </w:p>
    <w:p w14:paraId="FACA3A82">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rPr>
          <w:rFonts w:ascii="方正正纤黑简体" w:hAnsi="黑体" w:eastAsia="方正正纤黑简体" w:cs="黑体"/>
          <w:spacing w:val="-3"/>
          <w:sz w:val="28"/>
          <w:szCs w:val="28"/>
          <w:lang w:val="en-US"/>
        </w:rPr>
      </w:pPr>
      <w:r>
        <w:rPr>
          <w:rFonts w:ascii="方正正纤黑简体" w:hAnsi="黑体" w:eastAsia="方正正纤黑简体" w:cs="黑体"/>
          <w:spacing w:val="-3"/>
          <w:sz w:val="28"/>
          <w:szCs w:val="28"/>
          <w:lang w:val="en-US"/>
        </w:rPr>
        <w:t>本标准起草单位将对本标准进行释义，开展研讨；在标准发布以后，组织宣贯、培训。</w:t>
      </w:r>
    </w:p>
    <w:p w14:paraId="300E1E40">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rPr>
          <w:rFonts w:ascii="方正正纤黑简体" w:hAnsi="黑体" w:eastAsia="方正正纤黑简体" w:cs="黑体"/>
          <w:spacing w:val="-3"/>
          <w:sz w:val="28"/>
          <w:szCs w:val="28"/>
          <w:lang w:val="en-US"/>
        </w:rPr>
      </w:pPr>
      <w:r>
        <w:rPr>
          <w:rFonts w:ascii="方正正纤黑简体" w:hAnsi="黑体" w:eastAsia="方正正纤黑简体" w:cs="黑体"/>
          <w:spacing w:val="-3"/>
          <w:sz w:val="28"/>
          <w:szCs w:val="28"/>
          <w:lang w:val="en-US"/>
        </w:rPr>
        <w:t>为了保证此规范的实施推广，具体建议如下：</w:t>
      </w:r>
    </w:p>
    <w:p w14:paraId="3344AD80">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rPr>
          <w:rFonts w:ascii="方正正纤黑简体" w:hAnsi="黑体" w:eastAsia="方正正纤黑简体" w:cs="黑体"/>
          <w:spacing w:val="-3"/>
          <w:sz w:val="28"/>
          <w:szCs w:val="28"/>
          <w:lang w:val="en-US"/>
        </w:rPr>
      </w:pPr>
      <w:r>
        <w:rPr>
          <w:rFonts w:ascii="方正正纤黑简体" w:hAnsi="黑体" w:eastAsia="方正正纤黑简体" w:cs="黑体"/>
          <w:spacing w:val="-3"/>
          <w:sz w:val="28"/>
          <w:szCs w:val="28"/>
          <w:lang w:val="en-US"/>
        </w:rPr>
        <w:t>1. 印刷文本册便于使用者学习和运用，通过相关途径，对规范进行必要的宣传。</w:t>
      </w:r>
    </w:p>
    <w:p w14:paraId="5F86211A">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rPr>
          <w:rFonts w:ascii="方正正纤黑简体" w:hAnsi="黑体" w:eastAsia="方正正纤黑简体" w:cs="黑体"/>
          <w:spacing w:val="-3"/>
          <w:sz w:val="28"/>
          <w:szCs w:val="28"/>
          <w:lang w:val="en-US"/>
        </w:rPr>
      </w:pPr>
      <w:r>
        <w:rPr>
          <w:rFonts w:ascii="方正正纤黑简体" w:hAnsi="黑体" w:eastAsia="方正正纤黑简体" w:cs="黑体"/>
          <w:spacing w:val="-3"/>
          <w:sz w:val="28"/>
          <w:szCs w:val="28"/>
          <w:lang w:val="en-US"/>
        </w:rPr>
        <w:t>2. 围绕药膳食品评价标准的内容和流程制作多媒体视频，助推学习者理解。</w:t>
      </w:r>
    </w:p>
    <w:p w14:paraId="3AC1D33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rPr>
          <w:rFonts w:ascii="方正正纤黑简体" w:hAnsi="黑体" w:eastAsia="方正正纤黑简体" w:cs="黑体"/>
          <w:spacing w:val="-3"/>
          <w:sz w:val="28"/>
          <w:szCs w:val="28"/>
          <w:lang w:val="en-US"/>
        </w:rPr>
      </w:pPr>
      <w:r>
        <w:rPr>
          <w:rFonts w:ascii="方正正纤黑简体" w:hAnsi="黑体" w:eastAsia="方正正纤黑简体" w:cs="黑体"/>
          <w:spacing w:val="-3"/>
          <w:sz w:val="28"/>
          <w:szCs w:val="28"/>
          <w:lang w:val="en-US"/>
        </w:rPr>
        <w:t>3. 面向药膳生产企业、评价机构等相关单位人员，举办相关培训，提升工作人员的专业技术和管理能力。</w:t>
      </w:r>
    </w:p>
    <w:p w14:paraId="9B765D5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rPr>
          <w:rFonts w:ascii="方正正纤黑简体" w:eastAsia="方正正纤黑简体"/>
          <w:sz w:val="28"/>
          <w:szCs w:val="28"/>
        </w:rPr>
      </w:pPr>
      <w:r>
        <w:rPr>
          <w:rFonts w:ascii="方正正纤黑简体" w:hAnsi="黑体" w:eastAsia="方正正纤黑简体" w:cs="黑体"/>
          <w:spacing w:val="-3"/>
          <w:sz w:val="28"/>
          <w:szCs w:val="28"/>
          <w:lang w:val="en-US"/>
        </w:rPr>
        <w:t>4. 在实践中不断检验、总结经验和完善。</w:t>
      </w:r>
    </w:p>
    <w:p w14:paraId="26BEF2FB">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rPr>
          <w:rFonts w:ascii="方正正纤黑简体" w:hAnsi="黑体" w:eastAsia="方正正纤黑简体" w:cs="黑体"/>
          <w:sz w:val="28"/>
          <w:szCs w:val="28"/>
        </w:rPr>
      </w:pPr>
      <w:r>
        <w:rPr>
          <w:rFonts w:ascii="方正正纤黑简体" w:hAnsi="黑体" w:eastAsia="方正正纤黑简体" w:cs="黑体"/>
          <w:spacing w:val="4"/>
          <w:sz w:val="28"/>
          <w:szCs w:val="28"/>
        </w:rPr>
        <w:t>九、经费使用情况</w:t>
      </w:r>
    </w:p>
    <w:p w14:paraId="B1588020">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rPr>
          <w:rFonts w:ascii="方正正纤黑简体" w:eastAsia="方正正纤黑简体"/>
          <w:spacing w:val="-14"/>
          <w:sz w:val="28"/>
          <w:szCs w:val="28"/>
        </w:rPr>
      </w:pPr>
      <w:r>
        <w:rPr>
          <w:rFonts w:ascii="方正正纤黑简体" w:eastAsia="方正正纤黑简体"/>
          <w:spacing w:val="3"/>
          <w:sz w:val="28"/>
          <w:szCs w:val="28"/>
        </w:rPr>
        <w:t>主要用于：书籍与资料购置、出差调研、材料打印</w:t>
      </w:r>
      <w:r>
        <w:rPr>
          <w:rFonts w:ascii="方正正纤黑简体" w:eastAsia="方正正纤黑简体"/>
          <w:spacing w:val="2"/>
          <w:sz w:val="28"/>
          <w:szCs w:val="28"/>
        </w:rPr>
        <w:t>、研讨交流以及项</w:t>
      </w:r>
      <w:r>
        <w:rPr>
          <w:rFonts w:ascii="方正正纤黑简体" w:eastAsia="方正正纤黑简体"/>
          <w:sz w:val="28"/>
          <w:szCs w:val="28"/>
        </w:rPr>
        <w:t xml:space="preserve"> </w:t>
      </w:r>
      <w:r>
        <w:rPr>
          <w:rFonts w:ascii="方正正纤黑简体" w:eastAsia="方正正纤黑简体"/>
          <w:spacing w:val="-14"/>
          <w:sz w:val="28"/>
          <w:szCs w:val="28"/>
        </w:rPr>
        <w:t>目评审等。</w:t>
      </w:r>
    </w:p>
    <w:p w14:paraId="656C89F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rPr>
          <w:rFonts w:ascii="方正正纤黑简体" w:eastAsia="方正正纤黑简体"/>
          <w:sz w:val="28"/>
          <w:szCs w:val="28"/>
        </w:rPr>
      </w:pPr>
      <w:r>
        <w:rPr>
          <w:rFonts w:ascii="方正正纤黑简体" w:hAnsi="黑体" w:eastAsia="方正正纤黑简体" w:cs="黑体"/>
          <w:spacing w:val="8"/>
          <w:sz w:val="28"/>
          <w:szCs w:val="28"/>
        </w:rPr>
        <w:t>十、其他应予以说明的事项</w:t>
      </w:r>
      <w:r>
        <w:rPr>
          <w:rFonts w:ascii="方正正纤黑简体" w:hAnsi="黑体" w:eastAsia="方正正纤黑简体" w:cs="黑体"/>
          <w:spacing w:val="6"/>
          <w:sz w:val="28"/>
          <w:szCs w:val="28"/>
        </w:rPr>
        <w:t xml:space="preserve"> </w:t>
      </w:r>
      <w:r>
        <w:rPr>
          <w:rFonts w:ascii="方正正纤黑简体" w:eastAsia="方正正纤黑简体"/>
          <w:spacing w:val="7"/>
          <w:sz w:val="28"/>
          <w:szCs w:val="28"/>
        </w:rPr>
        <w:t>附起草人员组成的基本情况</w:t>
      </w:r>
    </w:p>
    <w:tbl>
      <w:tblPr>
        <w:tblStyle w:val="5"/>
        <w:tblW w:w="8840"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547"/>
        <w:gridCol w:w="850"/>
        <w:gridCol w:w="5611"/>
      </w:tblGrid>
      <w:tr w14:paraId="5DA7A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2" w:type="dxa"/>
          </w:tcPr>
          <w:p w14:paraId="79ADD15A">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151"/>
              <w:textAlignment w:val="baseline"/>
              <w:rPr>
                <w:rFonts w:ascii="方正正纤黑简体" w:eastAsia="方正正纤黑简体"/>
                <w:sz w:val="28"/>
                <w:szCs w:val="28"/>
              </w:rPr>
            </w:pPr>
            <w:r>
              <w:rPr>
                <w:rFonts w:ascii="方正正纤黑简体" w:eastAsia="方正正纤黑简体"/>
                <w:spacing w:val="-9"/>
                <w:sz w:val="28"/>
                <w:szCs w:val="28"/>
              </w:rPr>
              <w:t>序号</w:t>
            </w:r>
          </w:p>
        </w:tc>
        <w:tc>
          <w:tcPr>
            <w:tcW w:w="1547" w:type="dxa"/>
          </w:tcPr>
          <w:p w14:paraId="4F6F234B">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510"/>
              <w:textAlignment w:val="baseline"/>
              <w:rPr>
                <w:rFonts w:ascii="方正正纤黑简体" w:eastAsia="方正正纤黑简体"/>
                <w:sz w:val="28"/>
                <w:szCs w:val="28"/>
              </w:rPr>
            </w:pPr>
            <w:r>
              <w:rPr>
                <w:rFonts w:ascii="方正正纤黑简体" w:eastAsia="方正正纤黑简体"/>
                <w:spacing w:val="-11"/>
                <w:sz w:val="28"/>
                <w:szCs w:val="28"/>
              </w:rPr>
              <w:t>类别</w:t>
            </w:r>
          </w:p>
        </w:tc>
        <w:tc>
          <w:tcPr>
            <w:tcW w:w="850" w:type="dxa"/>
          </w:tcPr>
          <w:p w14:paraId="62401AAC">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159"/>
              <w:textAlignment w:val="baseline"/>
              <w:rPr>
                <w:rFonts w:ascii="方正正纤黑简体" w:eastAsia="方正正纤黑简体"/>
                <w:sz w:val="28"/>
                <w:szCs w:val="28"/>
              </w:rPr>
            </w:pPr>
            <w:r>
              <w:rPr>
                <w:rFonts w:ascii="方正正纤黑简体" w:eastAsia="方正正纤黑简体"/>
                <w:spacing w:val="-8"/>
                <w:sz w:val="28"/>
                <w:szCs w:val="28"/>
              </w:rPr>
              <w:t>数量</w:t>
            </w:r>
          </w:p>
        </w:tc>
        <w:tc>
          <w:tcPr>
            <w:tcW w:w="5611" w:type="dxa"/>
          </w:tcPr>
          <w:p w14:paraId="4DE2788D">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2263"/>
              <w:textAlignment w:val="baseline"/>
              <w:rPr>
                <w:rFonts w:ascii="方正正纤黑简体" w:eastAsia="方正正纤黑简体"/>
                <w:sz w:val="28"/>
                <w:szCs w:val="28"/>
              </w:rPr>
            </w:pPr>
            <w:r>
              <w:rPr>
                <w:rFonts w:ascii="方正正纤黑简体" w:eastAsia="方正正纤黑简体"/>
                <w:spacing w:val="-6"/>
                <w:sz w:val="28"/>
                <w:szCs w:val="28"/>
              </w:rPr>
              <w:t>具体情况</w:t>
            </w:r>
          </w:p>
        </w:tc>
      </w:tr>
      <w:tr w14:paraId="6F640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32" w:type="dxa"/>
            <w:vAlign w:val="center"/>
          </w:tcPr>
          <w:p w14:paraId="59FEE2A6">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383"/>
              <w:jc w:val="both"/>
              <w:textAlignment w:val="baseline"/>
              <w:rPr>
                <w:rFonts w:ascii="方正正纤黑简体" w:eastAsia="方正正纤黑简体"/>
                <w:sz w:val="28"/>
                <w:szCs w:val="28"/>
              </w:rPr>
            </w:pPr>
            <w:r>
              <w:rPr>
                <w:rFonts w:ascii="方正正纤黑简体" w:eastAsia="方正正纤黑简体"/>
                <w:sz w:val="28"/>
                <w:szCs w:val="28"/>
              </w:rPr>
              <w:t>1</w:t>
            </w:r>
          </w:p>
        </w:tc>
        <w:tc>
          <w:tcPr>
            <w:tcW w:w="1547" w:type="dxa"/>
            <w:vAlign w:val="center"/>
          </w:tcPr>
          <w:p w14:paraId="0245D7B0">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368"/>
              <w:jc w:val="both"/>
              <w:textAlignment w:val="baseline"/>
              <w:rPr>
                <w:rFonts w:hint="default" w:ascii="方正正纤黑简体" w:eastAsia="方正正纤黑简体"/>
                <w:sz w:val="28"/>
                <w:szCs w:val="28"/>
                <w:lang w:val="en-US"/>
              </w:rPr>
            </w:pPr>
            <w:r>
              <w:rPr>
                <w:rFonts w:hint="eastAsia" w:ascii="方正正纤黑简体" w:eastAsia="方正正纤黑简体"/>
                <w:sz w:val="28"/>
                <w:szCs w:val="28"/>
                <w:lang w:eastAsia="zh-CN"/>
              </w:rPr>
              <w:t>科研机构</w:t>
            </w:r>
          </w:p>
        </w:tc>
        <w:tc>
          <w:tcPr>
            <w:tcW w:w="850" w:type="dxa"/>
            <w:vAlign w:val="center"/>
          </w:tcPr>
          <w:p w14:paraId="4D5FC7F2">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392"/>
              <w:jc w:val="both"/>
              <w:textAlignment w:val="baseline"/>
              <w:rPr>
                <w:rFonts w:hint="eastAsia" w:ascii="方正正纤黑简体" w:eastAsia="宋体"/>
                <w:sz w:val="28"/>
                <w:szCs w:val="28"/>
                <w:lang w:eastAsia="zh-CN"/>
              </w:rPr>
            </w:pPr>
            <w:r>
              <w:rPr>
                <w:rFonts w:hint="eastAsia" w:ascii="方正正纤黑简体" w:eastAsia="宋体"/>
                <w:sz w:val="28"/>
                <w:szCs w:val="28"/>
                <w:lang w:val="en-US" w:eastAsia="zh-CN"/>
              </w:rPr>
              <w:t>2</w:t>
            </w:r>
          </w:p>
        </w:tc>
        <w:tc>
          <w:tcPr>
            <w:tcW w:w="5611" w:type="dxa"/>
            <w:vAlign w:val="center"/>
          </w:tcPr>
          <w:p w14:paraId="37F1D6A9">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143"/>
              <w:jc w:val="both"/>
              <w:textAlignment w:val="baseline"/>
              <w:rPr>
                <w:rFonts w:hint="eastAsia" w:ascii="方正正纤黑简体" w:eastAsia="方正正纤黑简体"/>
                <w:sz w:val="28"/>
                <w:szCs w:val="28"/>
                <w:lang w:eastAsia="zh-CN"/>
              </w:rPr>
            </w:pPr>
            <w:r>
              <w:rPr>
                <w:rFonts w:hint="eastAsia" w:ascii="方正正纤黑简体" w:eastAsia="方正正纤黑简体"/>
                <w:sz w:val="28"/>
                <w:szCs w:val="28"/>
                <w:lang w:eastAsia="zh-CN"/>
              </w:rPr>
              <w:t>国家卫生健康委科研所临床医学中心</w:t>
            </w:r>
          </w:p>
          <w:p w14:paraId="2C9DE05F">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143"/>
              <w:jc w:val="both"/>
              <w:textAlignment w:val="baseline"/>
              <w:rPr>
                <w:rFonts w:hint="default" w:ascii="方正正纤黑简体" w:eastAsia="方正正纤黑简体"/>
                <w:sz w:val="28"/>
                <w:szCs w:val="28"/>
                <w:lang w:val="en-US" w:eastAsia="zh-CN"/>
              </w:rPr>
            </w:pPr>
            <w:r>
              <w:rPr>
                <w:rFonts w:hint="eastAsia" w:ascii="方正正纤黑简体" w:eastAsia="方正正纤黑简体"/>
                <w:sz w:val="28"/>
                <w:szCs w:val="28"/>
                <w:lang w:val="en-US" w:eastAsia="zh-CN"/>
              </w:rPr>
              <w:t>北京英平医疗技术研究所</w:t>
            </w:r>
          </w:p>
        </w:tc>
      </w:tr>
      <w:tr w14:paraId="5A2BF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32" w:type="dxa"/>
            <w:shd w:val="clear"/>
            <w:vAlign w:val="center"/>
          </w:tcPr>
          <w:p w14:paraId="56F1284A">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372" w:leftChars="0"/>
              <w:jc w:val="both"/>
              <w:textAlignment w:val="baseline"/>
              <w:rPr>
                <w:rFonts w:ascii="方正正纤黑简体" w:eastAsia="方正正纤黑简体"/>
                <w:sz w:val="28"/>
                <w:szCs w:val="28"/>
              </w:rPr>
            </w:pPr>
            <w:r>
              <w:rPr>
                <w:rFonts w:hint="eastAsia" w:ascii="方正正纤黑简体" w:eastAsia="宋体"/>
                <w:sz w:val="28"/>
                <w:szCs w:val="28"/>
                <w:lang w:val="en-US" w:eastAsia="zh-CN"/>
              </w:rPr>
              <w:t>2</w:t>
            </w:r>
          </w:p>
        </w:tc>
        <w:tc>
          <w:tcPr>
            <w:tcW w:w="1547" w:type="dxa"/>
            <w:shd w:val="clear"/>
            <w:vAlign w:val="center"/>
          </w:tcPr>
          <w:p w14:paraId="18A70833">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firstLine="276" w:firstLineChars="100"/>
              <w:jc w:val="both"/>
              <w:textAlignment w:val="baseline"/>
              <w:rPr>
                <w:rFonts w:ascii="方正正纤黑简体" w:eastAsia="方正正纤黑简体"/>
                <w:sz w:val="28"/>
                <w:szCs w:val="28"/>
              </w:rPr>
            </w:pPr>
            <w:r>
              <w:rPr>
                <w:rFonts w:ascii="方正正纤黑简体" w:eastAsia="方正正纤黑简体"/>
                <w:spacing w:val="-2"/>
                <w:sz w:val="28"/>
                <w:szCs w:val="28"/>
              </w:rPr>
              <w:t>高校</w:t>
            </w:r>
            <w:r>
              <w:rPr>
                <w:rFonts w:ascii="方正正纤黑简体" w:eastAsia="方正正纤黑简体"/>
                <w:spacing w:val="-2"/>
                <w:sz w:val="28"/>
                <w:szCs w:val="28"/>
                <w:lang w:val="en-US"/>
              </w:rPr>
              <w:t>/</w:t>
            </w:r>
            <w:r>
              <w:rPr>
                <w:rFonts w:hint="eastAsia" w:ascii="方正正纤黑简体" w:eastAsia="方正正纤黑简体"/>
                <w:spacing w:val="-2"/>
                <w:sz w:val="28"/>
                <w:szCs w:val="28"/>
                <w:lang w:val="en-US" w:eastAsia="zh-CN"/>
              </w:rPr>
              <w:t>学校</w:t>
            </w:r>
          </w:p>
        </w:tc>
        <w:tc>
          <w:tcPr>
            <w:tcW w:w="850" w:type="dxa"/>
            <w:shd w:val="clear"/>
            <w:vAlign w:val="center"/>
          </w:tcPr>
          <w:p w14:paraId="431A963B">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379" w:leftChars="0"/>
              <w:jc w:val="both"/>
              <w:textAlignment w:val="baseline"/>
              <w:rPr>
                <w:rFonts w:ascii="方正正纤黑简体" w:eastAsia="方正正纤黑简体"/>
                <w:sz w:val="28"/>
                <w:szCs w:val="28"/>
              </w:rPr>
            </w:pPr>
            <w:r>
              <w:rPr>
                <w:rFonts w:ascii="方正正纤黑简体" w:eastAsia="方正正纤黑简体"/>
                <w:sz w:val="28"/>
                <w:szCs w:val="28"/>
              </w:rPr>
              <w:t>2</w:t>
            </w:r>
          </w:p>
        </w:tc>
        <w:tc>
          <w:tcPr>
            <w:tcW w:w="5611" w:type="dxa"/>
            <w:shd w:val="clear"/>
            <w:vAlign w:val="center"/>
          </w:tcPr>
          <w:p w14:paraId="474E5B98">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123" w:leftChars="0"/>
              <w:jc w:val="both"/>
              <w:textAlignment w:val="baseline"/>
              <w:rPr>
                <w:rFonts w:hint="eastAsia" w:ascii="方正正纤黑简体" w:eastAsia="方正正纤黑简体"/>
                <w:sz w:val="28"/>
                <w:szCs w:val="28"/>
                <w:lang w:val="en-US" w:eastAsia="zh-CN"/>
              </w:rPr>
            </w:pPr>
            <w:r>
              <w:rPr>
                <w:rFonts w:hint="eastAsia" w:ascii="方正正纤黑简体" w:eastAsia="方正正纤黑简体"/>
                <w:sz w:val="28"/>
                <w:szCs w:val="28"/>
                <w:lang w:val="en-US" w:eastAsia="zh-CN"/>
              </w:rPr>
              <w:t>北京中医药大学药学院</w:t>
            </w:r>
          </w:p>
          <w:p w14:paraId="00EF6D42">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123" w:leftChars="0"/>
              <w:jc w:val="both"/>
              <w:textAlignment w:val="baseline"/>
              <w:rPr>
                <w:rFonts w:ascii="方正正纤黑简体" w:eastAsia="方正正纤黑简体"/>
                <w:sz w:val="28"/>
                <w:szCs w:val="28"/>
              </w:rPr>
            </w:pPr>
            <w:r>
              <w:rPr>
                <w:rFonts w:hint="eastAsia" w:ascii="方正正纤黑简体" w:eastAsia="方正正纤黑简体"/>
                <w:sz w:val="28"/>
                <w:szCs w:val="28"/>
                <w:lang w:val="en-US" w:eastAsia="zh-CN"/>
              </w:rPr>
              <w:t>中科职业技能培训学校</w:t>
            </w:r>
          </w:p>
        </w:tc>
      </w:tr>
      <w:tr w14:paraId="06087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32" w:type="dxa"/>
            <w:vAlign w:val="center"/>
          </w:tcPr>
          <w:p w14:paraId="06939C99">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372"/>
              <w:jc w:val="both"/>
              <w:textAlignment w:val="baseline"/>
              <w:rPr>
                <w:rFonts w:hint="eastAsia" w:ascii="方正正纤黑简体" w:hAnsi="仿宋" w:eastAsia="宋体" w:cs="仿宋"/>
                <w:snapToGrid w:val="0"/>
                <w:color w:val="000000"/>
                <w:kern w:val="0"/>
                <w:sz w:val="28"/>
                <w:szCs w:val="28"/>
                <w:lang w:val="en-US" w:eastAsia="zh-CN" w:bidi="ar-SA"/>
              </w:rPr>
            </w:pPr>
            <w:r>
              <w:rPr>
                <w:rFonts w:ascii="方正正纤黑简体" w:eastAsia="方正正纤黑简体"/>
                <w:sz w:val="28"/>
                <w:szCs w:val="28"/>
              </w:rPr>
              <w:t>3</w:t>
            </w:r>
          </w:p>
        </w:tc>
        <w:tc>
          <w:tcPr>
            <w:tcW w:w="1547" w:type="dxa"/>
            <w:vAlign w:val="center"/>
          </w:tcPr>
          <w:p w14:paraId="32296773">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592"/>
              <w:jc w:val="both"/>
              <w:textAlignment w:val="baseline"/>
              <w:rPr>
                <w:rFonts w:ascii="方正正纤黑简体" w:hAnsi="仿宋" w:eastAsia="方正正纤黑简体" w:cs="仿宋"/>
                <w:snapToGrid w:val="0"/>
                <w:color w:val="000000"/>
                <w:kern w:val="0"/>
                <w:sz w:val="28"/>
                <w:szCs w:val="28"/>
                <w:lang w:val="en-US" w:eastAsia="en-US" w:bidi="ar-SA"/>
              </w:rPr>
            </w:pPr>
            <w:r>
              <w:rPr>
                <w:rFonts w:ascii="方正正纤黑简体" w:eastAsia="方正正纤黑简体"/>
                <w:spacing w:val="-7"/>
                <w:sz w:val="28"/>
                <w:szCs w:val="28"/>
              </w:rPr>
              <w:t>医院</w:t>
            </w:r>
          </w:p>
        </w:tc>
        <w:tc>
          <w:tcPr>
            <w:tcW w:w="850" w:type="dxa"/>
            <w:vAlign w:val="center"/>
          </w:tcPr>
          <w:p w14:paraId="4E4B9250">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379"/>
              <w:jc w:val="both"/>
              <w:textAlignment w:val="baseline"/>
              <w:rPr>
                <w:rFonts w:ascii="方正正纤黑简体" w:hAnsi="仿宋" w:eastAsia="方正正纤黑简体" w:cs="仿宋"/>
                <w:snapToGrid w:val="0"/>
                <w:color w:val="000000"/>
                <w:kern w:val="0"/>
                <w:sz w:val="28"/>
                <w:szCs w:val="28"/>
                <w:lang w:val="en-US" w:eastAsia="en-US" w:bidi="ar-SA"/>
              </w:rPr>
            </w:pPr>
            <w:r>
              <w:rPr>
                <w:rFonts w:ascii="方正正纤黑简体" w:eastAsia="方正正纤黑简体"/>
                <w:sz w:val="28"/>
                <w:szCs w:val="28"/>
              </w:rPr>
              <w:t>2</w:t>
            </w:r>
          </w:p>
        </w:tc>
        <w:tc>
          <w:tcPr>
            <w:tcW w:w="5611" w:type="dxa"/>
            <w:vAlign w:val="center"/>
          </w:tcPr>
          <w:p w14:paraId="7A2AD286">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129"/>
              <w:jc w:val="both"/>
              <w:textAlignment w:val="baseline"/>
              <w:rPr>
                <w:rFonts w:ascii="方正正纤黑简体" w:eastAsia="方正正纤黑简体"/>
                <w:sz w:val="28"/>
                <w:szCs w:val="28"/>
              </w:rPr>
            </w:pPr>
            <w:r>
              <w:rPr>
                <w:rFonts w:hint="eastAsia" w:ascii="方正正纤黑简体" w:eastAsia="方正正纤黑简体"/>
                <w:sz w:val="28"/>
                <w:szCs w:val="28"/>
                <w:lang w:eastAsia="zh-CN"/>
              </w:rPr>
              <w:t>中国民族卫生协会北京融科医院</w:t>
            </w:r>
          </w:p>
          <w:p w14:paraId="53A1218C">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123"/>
              <w:jc w:val="both"/>
              <w:textAlignment w:val="baseline"/>
              <w:rPr>
                <w:rFonts w:hint="default" w:ascii="方正正纤黑简体" w:eastAsia="方正正纤黑简体"/>
                <w:sz w:val="28"/>
                <w:szCs w:val="28"/>
                <w:lang w:val="en-US" w:eastAsia="zh-CN"/>
              </w:rPr>
            </w:pPr>
            <w:r>
              <w:rPr>
                <w:rFonts w:hint="eastAsia" w:ascii="方正正纤黑简体" w:eastAsia="方正正纤黑简体"/>
                <w:sz w:val="28"/>
                <w:szCs w:val="28"/>
                <w:lang w:eastAsia="zh-CN"/>
              </w:rPr>
              <w:t>融科</w:t>
            </w:r>
            <w:r>
              <w:rPr>
                <w:rFonts w:hint="default" w:ascii="方正正纤黑简体" w:eastAsia="方正正纤黑简体"/>
                <w:sz w:val="28"/>
                <w:szCs w:val="28"/>
                <w:lang w:val="en-US" w:eastAsia="zh-CN"/>
              </w:rPr>
              <w:t>(</w:t>
            </w:r>
            <w:r>
              <w:rPr>
                <w:rFonts w:hint="eastAsia" w:ascii="方正正纤黑简体" w:eastAsia="方正正纤黑简体"/>
                <w:sz w:val="28"/>
                <w:szCs w:val="28"/>
                <w:lang w:val="en-US" w:eastAsia="zh-CN"/>
              </w:rPr>
              <w:t>成都</w:t>
            </w:r>
            <w:r>
              <w:rPr>
                <w:rFonts w:hint="default" w:ascii="方正正纤黑简体" w:eastAsia="方正正纤黑简体"/>
                <w:sz w:val="28"/>
                <w:szCs w:val="28"/>
                <w:lang w:val="en-US" w:eastAsia="zh-CN"/>
              </w:rPr>
              <w:t>)</w:t>
            </w:r>
            <w:r>
              <w:rPr>
                <w:rFonts w:hint="eastAsia" w:ascii="方正正纤黑简体" w:eastAsia="方正正纤黑简体"/>
                <w:sz w:val="28"/>
                <w:szCs w:val="28"/>
                <w:lang w:val="en-US" w:eastAsia="zh-CN"/>
              </w:rPr>
              <w:t>互联网医院</w:t>
            </w:r>
          </w:p>
        </w:tc>
      </w:tr>
      <w:tr w14:paraId="69AA9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32" w:type="dxa"/>
            <w:vAlign w:val="center"/>
          </w:tcPr>
          <w:p w14:paraId="0C650DFB">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280" w:firstLineChars="100"/>
              <w:jc w:val="both"/>
              <w:textAlignment w:val="baseline"/>
              <w:rPr>
                <w:rFonts w:ascii="方正正纤黑简体" w:eastAsia="方正正纤黑简体"/>
                <w:sz w:val="28"/>
                <w:szCs w:val="28"/>
              </w:rPr>
            </w:pPr>
            <w:r>
              <w:rPr>
                <w:rFonts w:hint="eastAsia" w:ascii="方正正纤黑简体" w:eastAsia="宋体"/>
                <w:sz w:val="28"/>
                <w:szCs w:val="28"/>
                <w:lang w:val="en-US" w:eastAsia="zh-CN"/>
              </w:rPr>
              <w:t>4</w:t>
            </w:r>
          </w:p>
        </w:tc>
        <w:tc>
          <w:tcPr>
            <w:tcW w:w="1547" w:type="dxa"/>
            <w:vAlign w:val="center"/>
          </w:tcPr>
          <w:p w14:paraId="454C1229">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280" w:firstLineChars="100"/>
              <w:jc w:val="both"/>
              <w:textAlignment w:val="baseline"/>
              <w:rPr>
                <w:rFonts w:ascii="方正正纤黑简体" w:eastAsia="方正正纤黑简体"/>
                <w:sz w:val="28"/>
                <w:szCs w:val="28"/>
              </w:rPr>
            </w:pPr>
            <w:r>
              <w:rPr>
                <w:rFonts w:hint="eastAsia" w:ascii="方正正纤黑简体" w:eastAsia="方正正纤黑简体"/>
                <w:sz w:val="28"/>
                <w:szCs w:val="28"/>
                <w:lang w:eastAsia="zh-CN"/>
              </w:rPr>
              <w:t>相关企业</w:t>
            </w:r>
          </w:p>
        </w:tc>
        <w:tc>
          <w:tcPr>
            <w:tcW w:w="850" w:type="dxa"/>
            <w:vAlign w:val="center"/>
          </w:tcPr>
          <w:p w14:paraId="758D26A8">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280" w:firstLineChars="100"/>
              <w:jc w:val="both"/>
              <w:textAlignment w:val="baseline"/>
              <w:rPr>
                <w:rFonts w:ascii="方正正纤黑简体" w:eastAsia="方正正纤黑简体"/>
                <w:sz w:val="28"/>
                <w:szCs w:val="28"/>
              </w:rPr>
            </w:pPr>
            <w:r>
              <w:rPr>
                <w:rFonts w:hint="eastAsia" w:ascii="方正正纤黑简体" w:eastAsia="宋体"/>
                <w:sz w:val="28"/>
                <w:szCs w:val="28"/>
                <w:lang w:val="en-US" w:eastAsia="zh-CN"/>
              </w:rPr>
              <w:t>6</w:t>
            </w:r>
          </w:p>
        </w:tc>
        <w:tc>
          <w:tcPr>
            <w:tcW w:w="5611" w:type="dxa"/>
            <w:vAlign w:val="center"/>
          </w:tcPr>
          <w:p w14:paraId="7645F953">
            <w:pPr>
              <w:keepNext w:val="0"/>
              <w:keepLines w:val="0"/>
              <w:pageBreakBefore w:val="0"/>
              <w:widowControl/>
              <w:kinsoku w:val="0"/>
              <w:wordWrap/>
              <w:overflowPunct/>
              <w:topLinePunct w:val="0"/>
              <w:autoSpaceDE w:val="0"/>
              <w:autoSpaceDN w:val="0"/>
              <w:bidi w:val="0"/>
              <w:adjustRightInd w:val="0"/>
              <w:snapToGrid w:val="0"/>
              <w:spacing w:after="0" w:line="360" w:lineRule="auto"/>
              <w:jc w:val="both"/>
              <w:textAlignment w:val="baseline"/>
              <w:rPr>
                <w:rFonts w:hint="default" w:ascii="方正正纤黑简体" w:hAnsi="楷体" w:eastAsia="方正正纤黑简体" w:cs="楷体"/>
                <w:b w:val="0"/>
                <w:bCs w:val="0"/>
                <w:i w:val="0"/>
                <w:iCs w:val="0"/>
                <w:snapToGrid w:val="0"/>
                <w:color w:val="000000"/>
                <w:kern w:val="0"/>
                <w:sz w:val="28"/>
                <w:szCs w:val="28"/>
                <w:highlight w:val="none"/>
                <w:vertAlign w:val="baseline"/>
                <w:lang w:val="en-US" w:eastAsia="zh-CN" w:bidi="ar-SA"/>
              </w:rPr>
            </w:pPr>
            <w:r>
              <w:rPr>
                <w:rFonts w:hint="default" w:ascii="方正正纤黑简体" w:hAnsi="楷体" w:eastAsia="方正正纤黑简体" w:cs="楷体"/>
                <w:b w:val="0"/>
                <w:bCs w:val="0"/>
                <w:i w:val="0"/>
                <w:iCs w:val="0"/>
                <w:snapToGrid w:val="0"/>
                <w:color w:val="000000"/>
                <w:kern w:val="0"/>
                <w:sz w:val="28"/>
                <w:szCs w:val="28"/>
                <w:highlight w:val="none"/>
                <w:vertAlign w:val="baseline"/>
                <w:lang w:val="en-US" w:eastAsia="zh-CN" w:bidi="ar-SA"/>
              </w:rPr>
              <w:t>民族大医馆健康产业管理(北京)股份公司</w:t>
            </w:r>
          </w:p>
          <w:p w14:paraId="24D934CD">
            <w:pPr>
              <w:keepNext w:val="0"/>
              <w:keepLines w:val="0"/>
              <w:pageBreakBefore w:val="0"/>
              <w:widowControl/>
              <w:kinsoku w:val="0"/>
              <w:wordWrap/>
              <w:overflowPunct/>
              <w:topLinePunct w:val="0"/>
              <w:autoSpaceDE w:val="0"/>
              <w:autoSpaceDN w:val="0"/>
              <w:bidi w:val="0"/>
              <w:adjustRightInd w:val="0"/>
              <w:snapToGrid w:val="0"/>
              <w:spacing w:after="0" w:line="360" w:lineRule="auto"/>
              <w:jc w:val="both"/>
              <w:textAlignment w:val="baseline"/>
              <w:rPr>
                <w:rFonts w:ascii="方正正纤黑简体" w:eastAsia="方正正纤黑简体"/>
                <w:sz w:val="28"/>
                <w:szCs w:val="28"/>
              </w:rPr>
            </w:pPr>
            <w:r>
              <w:rPr>
                <w:rFonts w:hint="default" w:ascii="方正正纤黑简体" w:hAnsi="楷体" w:eastAsia="方正正纤黑简体" w:cs="楷体"/>
                <w:b w:val="0"/>
                <w:bCs w:val="0"/>
                <w:i w:val="0"/>
                <w:iCs w:val="0"/>
                <w:snapToGrid w:val="0"/>
                <w:color w:val="000000"/>
                <w:kern w:val="0"/>
                <w:sz w:val="28"/>
                <w:szCs w:val="28"/>
                <w:highlight w:val="none"/>
                <w:vertAlign w:val="baseline"/>
                <w:lang w:val="en-US" w:eastAsia="zh-CN" w:bidi="ar-SA"/>
              </w:rPr>
              <w:t>中医科学院(北京)健康科技有限公司</w:t>
            </w:r>
          </w:p>
          <w:p w14:paraId="6E592702">
            <w:pPr>
              <w:keepNext w:val="0"/>
              <w:keepLines w:val="0"/>
              <w:pageBreakBefore w:val="0"/>
              <w:widowControl/>
              <w:kinsoku w:val="0"/>
              <w:wordWrap/>
              <w:overflowPunct/>
              <w:topLinePunct w:val="0"/>
              <w:autoSpaceDE w:val="0"/>
              <w:autoSpaceDN w:val="0"/>
              <w:bidi w:val="0"/>
              <w:adjustRightInd w:val="0"/>
              <w:snapToGrid w:val="0"/>
              <w:spacing w:after="0" w:line="360" w:lineRule="auto"/>
              <w:jc w:val="both"/>
              <w:textAlignment w:val="baseline"/>
              <w:rPr>
                <w:rFonts w:ascii="方正正纤黑简体" w:eastAsia="方正正纤黑简体"/>
                <w:sz w:val="28"/>
                <w:szCs w:val="28"/>
              </w:rPr>
            </w:pPr>
            <w:r>
              <w:rPr>
                <w:rFonts w:hint="default" w:ascii="方正正纤黑简体" w:hAnsi="楷体" w:eastAsia="方正正纤黑简体" w:cs="楷体"/>
                <w:b w:val="0"/>
                <w:bCs w:val="0"/>
                <w:i w:val="0"/>
                <w:iCs w:val="0"/>
                <w:snapToGrid w:val="0"/>
                <w:color w:val="000000"/>
                <w:kern w:val="0"/>
                <w:sz w:val="28"/>
                <w:szCs w:val="28"/>
                <w:highlight w:val="none"/>
                <w:vertAlign w:val="baseline"/>
                <w:lang w:val="en-US" w:eastAsia="zh-CN" w:bidi="ar-SA"/>
              </w:rPr>
              <w:t>铭明德(北京)中医药文化中心</w:t>
            </w:r>
          </w:p>
          <w:p w14:paraId="56F189F9">
            <w:pPr>
              <w:keepNext w:val="0"/>
              <w:keepLines w:val="0"/>
              <w:pageBreakBefore w:val="0"/>
              <w:widowControl/>
              <w:kinsoku w:val="0"/>
              <w:wordWrap/>
              <w:overflowPunct/>
              <w:topLinePunct w:val="0"/>
              <w:autoSpaceDE w:val="0"/>
              <w:autoSpaceDN w:val="0"/>
              <w:bidi w:val="0"/>
              <w:adjustRightInd w:val="0"/>
              <w:snapToGrid w:val="0"/>
              <w:spacing w:after="0" w:line="360" w:lineRule="auto"/>
              <w:jc w:val="both"/>
              <w:textAlignment w:val="baseline"/>
              <w:rPr>
                <w:rFonts w:ascii="方正正纤黑简体" w:eastAsia="方正正纤黑简体"/>
                <w:sz w:val="28"/>
                <w:szCs w:val="28"/>
              </w:rPr>
            </w:pPr>
            <w:r>
              <w:rPr>
                <w:rFonts w:hint="default" w:ascii="方正正纤黑简体" w:hAnsi="楷体" w:eastAsia="方正正纤黑简体" w:cs="楷体"/>
                <w:b w:val="0"/>
                <w:bCs w:val="0"/>
                <w:i w:val="0"/>
                <w:iCs w:val="0"/>
                <w:snapToGrid w:val="0"/>
                <w:color w:val="000000"/>
                <w:kern w:val="0"/>
                <w:sz w:val="28"/>
                <w:szCs w:val="28"/>
                <w:highlight w:val="none"/>
                <w:vertAlign w:val="baseline"/>
                <w:lang w:val="en-US" w:eastAsia="zh-CN" w:bidi="ar-SA"/>
              </w:rPr>
              <w:t>江西仁仁健康微生态科技有限公司</w:t>
            </w:r>
          </w:p>
          <w:p w14:paraId="63164CCF">
            <w:pPr>
              <w:keepNext w:val="0"/>
              <w:keepLines w:val="0"/>
              <w:pageBreakBefore w:val="0"/>
              <w:widowControl/>
              <w:kinsoku w:val="0"/>
              <w:wordWrap/>
              <w:overflowPunct/>
              <w:topLinePunct w:val="0"/>
              <w:autoSpaceDE w:val="0"/>
              <w:autoSpaceDN w:val="0"/>
              <w:bidi w:val="0"/>
              <w:adjustRightInd w:val="0"/>
              <w:snapToGrid w:val="0"/>
              <w:spacing w:after="0" w:line="360" w:lineRule="auto"/>
              <w:jc w:val="both"/>
              <w:textAlignment w:val="baseline"/>
              <w:rPr>
                <w:rFonts w:ascii="方正正纤黑简体" w:eastAsia="方正正纤黑简体"/>
                <w:sz w:val="28"/>
                <w:szCs w:val="28"/>
              </w:rPr>
            </w:pPr>
            <w:r>
              <w:rPr>
                <w:rFonts w:hint="default" w:ascii="方正正纤黑简体" w:hAnsi="楷体" w:eastAsia="方正正纤黑简体" w:cs="楷体"/>
                <w:b w:val="0"/>
                <w:bCs w:val="0"/>
                <w:i w:val="0"/>
                <w:iCs w:val="0"/>
                <w:snapToGrid w:val="0"/>
                <w:color w:val="000000"/>
                <w:kern w:val="0"/>
                <w:sz w:val="28"/>
                <w:szCs w:val="28"/>
                <w:highlight w:val="none"/>
                <w:vertAlign w:val="baseline"/>
                <w:lang w:val="en-US" w:eastAsia="zh-CN" w:bidi="ar-SA"/>
              </w:rPr>
              <w:t>金方膳府(北京)餐饮管理有限公司</w:t>
            </w:r>
          </w:p>
          <w:p w14:paraId="32BDF27C">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jc w:val="both"/>
              <w:textAlignment w:val="baseline"/>
              <w:rPr>
                <w:rFonts w:ascii="方正正纤黑简体" w:eastAsia="方正正纤黑简体"/>
                <w:sz w:val="28"/>
                <w:szCs w:val="28"/>
              </w:rPr>
            </w:pPr>
            <w:r>
              <w:rPr>
                <w:rFonts w:hint="default" w:ascii="方正正纤黑简体" w:hAnsi="楷体" w:eastAsia="方正正纤黑简体" w:cs="楷体"/>
                <w:b w:val="0"/>
                <w:bCs w:val="0"/>
                <w:i w:val="0"/>
                <w:iCs w:val="0"/>
                <w:snapToGrid w:val="0"/>
                <w:color w:val="000000"/>
                <w:kern w:val="0"/>
                <w:sz w:val="28"/>
                <w:szCs w:val="28"/>
                <w:highlight w:val="none"/>
                <w:vertAlign w:val="baseline"/>
                <w:lang w:val="en-US" w:eastAsia="zh-CN" w:bidi="ar-SA"/>
              </w:rPr>
              <w:t>武汉同济思源药业有限公司</w:t>
            </w:r>
          </w:p>
        </w:tc>
      </w:tr>
      <w:tr w14:paraId="51931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2" w:type="dxa"/>
            <w:vAlign w:val="center"/>
          </w:tcPr>
          <w:p w14:paraId="7147DBD5">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eastAsia" w:ascii="方正正纤黑简体" w:eastAsia="宋体"/>
                <w:sz w:val="28"/>
                <w:szCs w:val="28"/>
                <w:lang w:val="en-US" w:eastAsia="zh-CN"/>
              </w:rPr>
            </w:pPr>
            <w:r>
              <w:rPr>
                <w:rFonts w:hint="eastAsia" w:ascii="方正正纤黑简体" w:eastAsia="宋体"/>
                <w:sz w:val="28"/>
                <w:szCs w:val="28"/>
                <w:lang w:val="en-US" w:eastAsia="zh-CN"/>
              </w:rPr>
              <w:t>5</w:t>
            </w:r>
          </w:p>
        </w:tc>
        <w:tc>
          <w:tcPr>
            <w:tcW w:w="1547" w:type="dxa"/>
            <w:vAlign w:val="center"/>
          </w:tcPr>
          <w:p w14:paraId="7E975532">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ascii="方正正纤黑简体" w:eastAsia="方正正纤黑简体"/>
                <w:sz w:val="28"/>
                <w:szCs w:val="28"/>
              </w:rPr>
            </w:pPr>
            <w:r>
              <w:rPr>
                <w:rFonts w:hint="default" w:ascii="方正正纤黑简体" w:hAnsi="仿宋" w:eastAsia="方正正纤黑简体" w:cs="仿宋"/>
                <w:b w:val="0"/>
                <w:bCs w:val="0"/>
                <w:i w:val="0"/>
                <w:iCs w:val="0"/>
                <w:snapToGrid w:val="0"/>
                <w:color w:val="000000"/>
                <w:kern w:val="0"/>
                <w:sz w:val="28"/>
                <w:szCs w:val="28"/>
                <w:highlight w:val="none"/>
                <w:vertAlign w:val="baseline"/>
                <w:lang w:val="en-US" w:eastAsia="zh-CN" w:bidi="ar-SA"/>
              </w:rPr>
              <w:t>国医大师</w:t>
            </w:r>
          </w:p>
        </w:tc>
        <w:tc>
          <w:tcPr>
            <w:tcW w:w="850" w:type="dxa"/>
            <w:vAlign w:val="center"/>
          </w:tcPr>
          <w:p w14:paraId="7376EA1F">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baseline"/>
              <w:rPr>
                <w:rFonts w:hint="eastAsia" w:ascii="方正正纤黑简体" w:eastAsia="宋体"/>
                <w:sz w:val="28"/>
                <w:szCs w:val="28"/>
                <w:lang w:eastAsia="zh-CN"/>
              </w:rPr>
            </w:pPr>
            <w:r>
              <w:rPr>
                <w:rFonts w:ascii="方正正纤黑简体" w:eastAsia="方正正纤黑简体"/>
                <w:sz w:val="28"/>
                <w:szCs w:val="28"/>
                <w:lang w:val="en-US"/>
              </w:rPr>
              <w:t>3</w:t>
            </w:r>
          </w:p>
        </w:tc>
        <w:tc>
          <w:tcPr>
            <w:tcW w:w="5611" w:type="dxa"/>
            <w:vAlign w:val="center"/>
          </w:tcPr>
          <w:p w14:paraId="3BC20F15">
            <w:pPr>
              <w:pStyle w:val="6"/>
              <w:keepNext w:val="0"/>
              <w:keepLines w:val="0"/>
              <w:pageBreakBefore w:val="0"/>
              <w:widowControl/>
              <w:kinsoku w:val="0"/>
              <w:wordWrap/>
              <w:overflowPunct/>
              <w:topLinePunct w:val="0"/>
              <w:autoSpaceDE w:val="0"/>
              <w:autoSpaceDN w:val="0"/>
              <w:bidi w:val="0"/>
              <w:adjustRightInd w:val="0"/>
              <w:snapToGrid w:val="0"/>
              <w:spacing w:after="0" w:line="240" w:lineRule="auto"/>
              <w:jc w:val="both"/>
              <w:textAlignment w:val="baseline"/>
              <w:rPr>
                <w:rFonts w:ascii="方正正纤黑简体" w:eastAsia="方正正纤黑简体"/>
                <w:sz w:val="28"/>
                <w:szCs w:val="28"/>
              </w:rPr>
            </w:pPr>
            <w:r>
              <w:rPr>
                <w:rFonts w:hint="default" w:ascii="方正正纤黑简体" w:hAnsi="仿宋" w:eastAsia="方正正纤黑简体" w:cs="仿宋"/>
                <w:b w:val="0"/>
                <w:bCs w:val="0"/>
                <w:i w:val="0"/>
                <w:iCs w:val="0"/>
                <w:snapToGrid w:val="0"/>
                <w:color w:val="000000"/>
                <w:kern w:val="0"/>
                <w:sz w:val="28"/>
                <w:szCs w:val="28"/>
                <w:highlight w:val="none"/>
                <w:vertAlign w:val="baseline"/>
                <w:lang w:val="en-US" w:eastAsia="zh-CN" w:bidi="ar-SA"/>
              </w:rPr>
              <w:t>王世民、孙光荣、李佃贵</w:t>
            </w:r>
          </w:p>
        </w:tc>
      </w:tr>
      <w:tr w14:paraId="5B7AA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1" w:hRule="atLeast"/>
        </w:trPr>
        <w:tc>
          <w:tcPr>
            <w:tcW w:w="832" w:type="dxa"/>
            <w:vAlign w:val="center"/>
          </w:tcPr>
          <w:p w14:paraId="156FF9EB">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方正正纤黑简体" w:eastAsia="方正正纤黑简体"/>
                <w:sz w:val="28"/>
                <w:szCs w:val="28"/>
              </w:rPr>
            </w:pPr>
          </w:p>
          <w:p w14:paraId="1759B865">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方正正纤黑简体" w:eastAsia="宋体"/>
                <w:sz w:val="28"/>
                <w:szCs w:val="28"/>
                <w:lang w:eastAsia="zh-CN"/>
              </w:rPr>
            </w:pPr>
            <w:r>
              <w:rPr>
                <w:rFonts w:hint="eastAsia" w:ascii="方正正纤黑简体" w:eastAsia="宋体"/>
                <w:sz w:val="28"/>
                <w:szCs w:val="28"/>
                <w:lang w:val="en-US" w:eastAsia="zh-CN"/>
              </w:rPr>
              <w:t>6</w:t>
            </w:r>
          </w:p>
        </w:tc>
        <w:tc>
          <w:tcPr>
            <w:tcW w:w="1547" w:type="dxa"/>
            <w:vAlign w:val="center"/>
          </w:tcPr>
          <w:p w14:paraId="1DAF9850">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方正正纤黑简体" w:eastAsia="方正正纤黑简体"/>
                <w:sz w:val="28"/>
                <w:szCs w:val="28"/>
                <w:lang w:eastAsia="zh-CN"/>
              </w:rPr>
            </w:pPr>
          </w:p>
          <w:p w14:paraId="455FE170">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方正正纤黑简体" w:eastAsia="方正正纤黑简体"/>
                <w:sz w:val="28"/>
                <w:szCs w:val="28"/>
              </w:rPr>
            </w:pPr>
            <w:r>
              <w:rPr>
                <w:rFonts w:hint="eastAsia" w:ascii="方正正纤黑简体" w:eastAsia="方正正纤黑简体"/>
                <w:sz w:val="28"/>
                <w:szCs w:val="28"/>
                <w:lang w:eastAsia="zh-CN"/>
              </w:rPr>
              <w:t>专业人员</w:t>
            </w:r>
          </w:p>
        </w:tc>
        <w:tc>
          <w:tcPr>
            <w:tcW w:w="850" w:type="dxa"/>
            <w:vAlign w:val="center"/>
          </w:tcPr>
          <w:p w14:paraId="38D09726">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方正正纤黑简体" w:eastAsia="方正正纤黑简体"/>
                <w:sz w:val="28"/>
                <w:szCs w:val="28"/>
                <w:lang w:eastAsia="zh-CN"/>
              </w:rPr>
            </w:pPr>
          </w:p>
          <w:p w14:paraId="4C263FE1">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ascii="方正正纤黑简体" w:eastAsia="方正正纤黑简体"/>
                <w:sz w:val="28"/>
                <w:szCs w:val="28"/>
              </w:rPr>
            </w:pPr>
            <w:r>
              <w:rPr>
                <w:rFonts w:hint="eastAsia" w:ascii="方正正纤黑简体" w:eastAsia="方正正纤黑简体"/>
                <w:sz w:val="28"/>
                <w:szCs w:val="28"/>
                <w:lang w:eastAsia="zh-CN"/>
              </w:rPr>
              <w:t>若干</w:t>
            </w:r>
          </w:p>
        </w:tc>
        <w:tc>
          <w:tcPr>
            <w:tcW w:w="5611" w:type="dxa"/>
            <w:vAlign w:val="center"/>
          </w:tcPr>
          <w:p w14:paraId="EDD00B95">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jc w:val="both"/>
              <w:textAlignment w:val="baseline"/>
              <w:rPr>
                <w:rFonts w:hint="default" w:ascii="方正正纤黑简体" w:hAnsi="楷体" w:eastAsia="方正正纤黑简体" w:cs="楷体"/>
                <w:b w:val="0"/>
                <w:bCs w:val="0"/>
                <w:i w:val="0"/>
                <w:iCs w:val="0"/>
                <w:snapToGrid w:val="0"/>
                <w:color w:val="000000"/>
                <w:kern w:val="0"/>
                <w:sz w:val="28"/>
                <w:szCs w:val="28"/>
                <w:highlight w:val="none"/>
                <w:vertAlign w:val="baseline"/>
                <w:lang w:val="en-US" w:eastAsia="zh-CN" w:bidi="ar-SA"/>
              </w:rPr>
            </w:pPr>
            <w:r>
              <w:rPr>
                <w:rFonts w:hint="eastAsia" w:ascii="方正正纤黑简体" w:eastAsia="方正正纤黑简体"/>
                <w:sz w:val="28"/>
                <w:szCs w:val="28"/>
                <w:lang w:eastAsia="zh-CN"/>
              </w:rPr>
              <w:t>吴英萍、杨锐、张文高、张育铭、薛家鑫、倪树海、杜时春、郝高庭、汪海东、习慧泽、刘明慧、姚平、彭永振、余萍等</w:t>
            </w:r>
          </w:p>
        </w:tc>
      </w:tr>
    </w:tbl>
    <w:p w14:paraId="2A788AA5">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textAlignment w:val="baseline"/>
        <w:rPr>
          <w:rFonts w:ascii="方正正纤黑简体" w:eastAsia="方正正纤黑简体"/>
          <w:sz w:val="28"/>
          <w:szCs w:val="28"/>
        </w:rPr>
      </w:pPr>
    </w:p>
    <w:p w14:paraId="5EA752AE">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Chars="200"/>
        <w:jc w:val="right"/>
        <w:textAlignment w:val="baseline"/>
        <w:rPr>
          <w:rFonts w:ascii="方正正纤黑简体" w:eastAsia="方正正纤黑简体"/>
          <w:sz w:val="28"/>
          <w:szCs w:val="28"/>
        </w:rPr>
      </w:pPr>
    </w:p>
    <w:p w14:paraId="19517209">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321"/>
        <w:jc w:val="right"/>
        <w:textAlignment w:val="baseline"/>
        <w:rPr>
          <w:rFonts w:ascii="方正正纤黑简体" w:eastAsia="方正正纤黑简体"/>
          <w:spacing w:val="11"/>
          <w:sz w:val="28"/>
          <w:szCs w:val="28"/>
        </w:rPr>
      </w:pPr>
      <w:r>
        <w:rPr>
          <w:rFonts w:ascii="方正正纤黑简体" w:eastAsia="方正正纤黑简体"/>
          <w:spacing w:val="8"/>
          <w:sz w:val="28"/>
          <w:szCs w:val="28"/>
        </w:rPr>
        <w:t>《</w:t>
      </w:r>
      <w:r>
        <w:rPr>
          <w:rFonts w:hint="eastAsia" w:ascii="方正正纤黑简体" w:eastAsia="方正正纤黑简体"/>
          <w:spacing w:val="8"/>
          <w:sz w:val="28"/>
          <w:szCs w:val="28"/>
          <w:lang w:eastAsia="zh-CN"/>
        </w:rPr>
        <w:t>药膳食品评价</w:t>
      </w:r>
      <w:r>
        <w:rPr>
          <w:rFonts w:ascii="方正正纤黑简体" w:eastAsia="方正正纤黑简体"/>
          <w:spacing w:val="8"/>
          <w:sz w:val="28"/>
          <w:szCs w:val="28"/>
        </w:rPr>
        <w:t>》</w:t>
      </w:r>
      <w:r>
        <w:rPr>
          <w:rFonts w:hint="eastAsia" w:ascii="方正正纤黑简体" w:eastAsia="方正正纤黑简体"/>
          <w:spacing w:val="8"/>
          <w:sz w:val="28"/>
          <w:szCs w:val="28"/>
          <w:lang w:eastAsia="zh-CN"/>
        </w:rPr>
        <w:t>团体标准</w:t>
      </w:r>
      <w:r>
        <w:rPr>
          <w:rFonts w:ascii="方正正纤黑简体" w:eastAsia="方正正纤黑简体"/>
          <w:spacing w:val="8"/>
          <w:sz w:val="28"/>
          <w:szCs w:val="28"/>
        </w:rPr>
        <w:t>起草组</w:t>
      </w:r>
      <w:r>
        <w:rPr>
          <w:rFonts w:ascii="方正正纤黑简体" w:eastAsia="方正正纤黑简体"/>
          <w:spacing w:val="11"/>
          <w:sz w:val="28"/>
          <w:szCs w:val="28"/>
        </w:rPr>
        <w:t xml:space="preserve"> </w:t>
      </w:r>
    </w:p>
    <w:p w14:paraId="1A480A5B">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321"/>
        <w:jc w:val="right"/>
        <w:textAlignment w:val="baseline"/>
      </w:pPr>
      <w:r>
        <w:rPr>
          <w:rFonts w:ascii="方正正纤黑简体" w:eastAsia="方正正纤黑简体"/>
          <w:spacing w:val="-7"/>
          <w:sz w:val="28"/>
          <w:szCs w:val="28"/>
        </w:rPr>
        <w:t>202</w:t>
      </w:r>
      <w:r>
        <w:rPr>
          <w:rFonts w:ascii="方正正纤黑简体" w:eastAsia="方正正纤黑简体"/>
          <w:spacing w:val="-7"/>
          <w:sz w:val="28"/>
          <w:szCs w:val="28"/>
          <w:lang w:val="en-US"/>
        </w:rPr>
        <w:t>5</w:t>
      </w:r>
      <w:r>
        <w:rPr>
          <w:rFonts w:ascii="方正正纤黑简体" w:eastAsia="方正正纤黑简体"/>
          <w:spacing w:val="-7"/>
          <w:sz w:val="28"/>
          <w:szCs w:val="28"/>
        </w:rPr>
        <w:t>年</w:t>
      </w:r>
      <w:r>
        <w:rPr>
          <w:rFonts w:ascii="方正正纤黑简体" w:eastAsia="方正正纤黑简体"/>
          <w:spacing w:val="-41"/>
          <w:sz w:val="28"/>
          <w:szCs w:val="28"/>
        </w:rPr>
        <w:t xml:space="preserve"> </w:t>
      </w:r>
      <w:r>
        <w:rPr>
          <w:rFonts w:ascii="方正正纤黑简体" w:eastAsia="方正正纤黑简体"/>
          <w:spacing w:val="-41"/>
          <w:sz w:val="28"/>
          <w:szCs w:val="28"/>
          <w:lang w:val="en-US"/>
        </w:rPr>
        <w:t>8</w:t>
      </w:r>
      <w:r>
        <w:rPr>
          <w:rFonts w:ascii="方正正纤黑简体" w:eastAsia="方正正纤黑简体"/>
          <w:spacing w:val="-7"/>
          <w:sz w:val="28"/>
          <w:szCs w:val="28"/>
        </w:rPr>
        <w:t>月</w:t>
      </w:r>
      <w:r>
        <w:rPr>
          <w:rFonts w:ascii="方正正纤黑简体" w:eastAsia="方正正纤黑简体"/>
          <w:spacing w:val="-39"/>
          <w:sz w:val="28"/>
          <w:szCs w:val="28"/>
        </w:rPr>
        <w:t xml:space="preserve"> </w:t>
      </w:r>
      <w:r>
        <w:rPr>
          <w:rFonts w:ascii="方正正纤黑简体" w:eastAsia="方正正纤黑简体"/>
          <w:spacing w:val="-39"/>
          <w:sz w:val="28"/>
          <w:szCs w:val="28"/>
          <w:lang w:val="en-US"/>
        </w:rPr>
        <w:t>1</w:t>
      </w:r>
      <w:r>
        <w:rPr>
          <w:rFonts w:ascii="方正正纤黑简体" w:eastAsia="方正正纤黑简体"/>
          <w:spacing w:val="-7"/>
          <w:sz w:val="28"/>
          <w:szCs w:val="28"/>
        </w:rPr>
        <w:t xml:space="preserve"> </w:t>
      </w:r>
      <w:r>
        <w:rPr>
          <w:spacing w:val="-7"/>
        </w:rPr>
        <w:t>日</w:t>
      </w:r>
    </w:p>
    <w:sectPr>
      <w:footerReference r:id="rId5" w:type="default"/>
      <w:pgSz w:w="11906" w:h="16839"/>
      <w:pgMar w:top="1431" w:right="1418" w:bottom="1156" w:left="1486"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正纤黑简体">
    <w:altName w:val="Times New Roman"/>
    <w:panose1 w:val="02020603050005020304"/>
    <w:charset w:val="00"/>
    <w:family w:val="roman"/>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22CC1">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
      <w:lvlText w:val="（%1）"/>
      <w:lvlJc w:val="left"/>
      <w:pPr>
        <w:ind w:left="1078" w:hanging="420"/>
      </w:pPr>
    </w:lvl>
    <w:lvl w:ilvl="1" w:tentative="0">
      <w:start w:val="1"/>
      <w:numFmt w:val="lowerLetter"/>
      <w:lvlText w:val="%2)"/>
      <w:lvlJc w:val="left"/>
      <w:pPr>
        <w:ind w:left="1498" w:hanging="420"/>
      </w:pPr>
    </w:lvl>
    <w:lvl w:ilvl="2" w:tentative="0">
      <w:start w:val="1"/>
      <w:numFmt w:val="lowerRoman"/>
      <w:lvlText w:val="%3."/>
      <w:lvlJc w:val="right"/>
      <w:pPr>
        <w:ind w:left="1918" w:hanging="420"/>
      </w:pPr>
    </w:lvl>
    <w:lvl w:ilvl="3" w:tentative="0">
      <w:start w:val="1"/>
      <w:numFmt w:val="decimal"/>
      <w:lvlText w:val="%4."/>
      <w:lvlJc w:val="left"/>
      <w:pPr>
        <w:ind w:left="2338" w:hanging="420"/>
      </w:pPr>
    </w:lvl>
    <w:lvl w:ilvl="4" w:tentative="0">
      <w:start w:val="1"/>
      <w:numFmt w:val="lowerLetter"/>
      <w:lvlText w:val="%5)"/>
      <w:lvlJc w:val="left"/>
      <w:pPr>
        <w:ind w:left="2758" w:hanging="420"/>
      </w:pPr>
    </w:lvl>
    <w:lvl w:ilvl="5" w:tentative="0">
      <w:start w:val="1"/>
      <w:numFmt w:val="lowerRoman"/>
      <w:lvlText w:val="%6."/>
      <w:lvlJc w:val="right"/>
      <w:pPr>
        <w:ind w:left="3178" w:hanging="420"/>
      </w:pPr>
    </w:lvl>
    <w:lvl w:ilvl="6" w:tentative="0">
      <w:start w:val="1"/>
      <w:numFmt w:val="decimal"/>
      <w:lvlText w:val="%7."/>
      <w:lvlJc w:val="left"/>
      <w:pPr>
        <w:ind w:left="3598" w:hanging="420"/>
      </w:pPr>
    </w:lvl>
    <w:lvl w:ilvl="7" w:tentative="0">
      <w:start w:val="1"/>
      <w:numFmt w:val="lowerLetter"/>
      <w:lvlText w:val="%8)"/>
      <w:lvlJc w:val="left"/>
      <w:pPr>
        <w:ind w:left="4018" w:hanging="420"/>
      </w:pPr>
    </w:lvl>
    <w:lvl w:ilvl="8" w:tentative="0">
      <w:start w:val="1"/>
      <w:numFmt w:val="lowerRoman"/>
      <w:lvlText w:val="%9."/>
      <w:lvlJc w:val="right"/>
      <w:pPr>
        <w:ind w:left="4438" w:hanging="420"/>
      </w:pPr>
    </w:lvl>
  </w:abstractNum>
  <w:abstractNum w:abstractNumId="1">
    <w:nsid w:val="00000001"/>
    <w:multiLevelType w:val="multilevel"/>
    <w:tmpl w:val="00000001"/>
    <w:lvl w:ilvl="0" w:tentative="0">
      <w:start w:val="1"/>
      <w:numFmt w:val="chineseCounting"/>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02"/>
    <w:multiLevelType w:val="multilevel"/>
    <w:tmpl w:val="00000002"/>
    <w:lvl w:ilvl="0" w:tentative="0">
      <w:start w:val="1"/>
      <w:numFmt w:val="chineseCounting"/>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4"/>
    <w:multiLevelType w:val="multilevel"/>
    <w:tmpl w:val="00000004"/>
    <w:lvl w:ilvl="0" w:tentative="0">
      <w:start w:val="5"/>
      <w:numFmt w:val="chineseCounting"/>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2B6944"/>
    <w:rsid w:val="32D21971"/>
    <w:rsid w:val="4B4670DF"/>
    <w:rsid w:val="5DB63049"/>
    <w:rsid w:val="7F2E2B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1"/>
      <w:szCs w:val="31"/>
      <w:lang w:val="en-US" w:eastAsia="en-US" w:bidi="ar-SA"/>
    </w:rPr>
  </w:style>
  <w:style w:type="table" w:customStyle="1" w:styleId="5">
    <w:name w:val="Table Normal"/>
    <w:qFormat/>
    <w:uiPriority w:val="0"/>
    <w:tblPr>
      <w:tblCellMar>
        <w:top w:w="0" w:type="dxa"/>
        <w:left w:w="0" w:type="dxa"/>
        <w:bottom w:w="0" w:type="dxa"/>
        <w:right w:w="0" w:type="dxa"/>
      </w:tblCellMar>
    </w:tblPr>
  </w:style>
  <w:style w:type="paragraph" w:customStyle="1" w:styleId="6">
    <w:name w:val="Table Text"/>
    <w:basedOn w:val="1"/>
    <w:qFormat/>
    <w:uiPriority w:val="0"/>
    <w:rPr>
      <w:rFonts w:ascii="仿宋" w:hAnsi="仿宋" w:eastAsia="仿宋" w:cs="仿宋"/>
      <w:sz w:val="20"/>
      <w:szCs w:val="20"/>
      <w:lang w:val="en-US" w:eastAsia="en-US"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1579</Words>
  <Characters>1669</Characters>
  <Paragraphs>122</Paragraphs>
  <TotalTime>8</TotalTime>
  <ScaleCrop>false</ScaleCrop>
  <LinksUpToDate>false</LinksUpToDate>
  <CharactersWithSpaces>1676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2024-12-20T10:55:00Z</dcterms:created>
  <dc:creator>微软用户</dc:creator>
  <cp:lastModifiedBy>WPS</cp:lastModifiedBy>
  <dcterms:modified xsi:type="dcterms:W3CDTF">2025-08-26T05:34:46Z</dcterms:modified>
  <dc:title>标准编制说明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2024-12-24T11:02:52Z</vt:filetime>
  </property>
  <property fmtid="{D5CDD505-2E9C-101B-9397-08002B2CF9AE}" pid="4" name="KSOProductBuildVer">
    <vt:lpwstr>2052-12.1.0.22529</vt:lpwstr>
  </property>
  <property fmtid="{D5CDD505-2E9C-101B-9397-08002B2CF9AE}" pid="5" name="ICV">
    <vt:lpwstr>32CE7C3A65C249E9BF0AB2457BE88345_13</vt:lpwstr>
  </property>
  <property fmtid="{D5CDD505-2E9C-101B-9397-08002B2CF9AE}" pid="6" name="KSOTemplateDocerSaveRecord">
    <vt:lpwstr>eyJoZGlkIjoiYWU0N2ZjNDEyZjNlYWFhYjFjNGFiNmI4ZWJiMmYwMzAiLCJ1c2VySWQiOiIxMDI0NjA3NDYwIn0=</vt:lpwstr>
  </property>
</Properties>
</file>