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2F4D">
      <w:pPr>
        <w:pStyle w:val="116"/>
        <w:framePr w:w="7955" w:wrap="notBeside" w:x="2206"/>
        <w:spacing w:before="62"/>
      </w:pPr>
      <w:bookmarkStart w:id="0" w:name="StdNo0"/>
      <w:r>
        <w:rPr>
          <w:rFonts w:hint="eastAsia"/>
          <w:sz w:val="76"/>
          <w:szCs w:val="76"/>
        </w:rPr>
        <w:t>团体标准</w:t>
      </w:r>
    </w:p>
    <w:bookmarkEnd w:id="0"/>
    <w:p w14:paraId="63E18016">
      <w:pPr>
        <w:pStyle w:val="53"/>
        <w:framePr w:w="4077" w:h="709" w:hRule="exact" w:wrap="notBeside" w:x="6482" w:y="3454"/>
        <w:rPr>
          <w:rFonts w:hAnsi="黑体"/>
        </w:rPr>
      </w:pPr>
    </w:p>
    <w:p w14:paraId="74D4C74E">
      <w:pPr>
        <w:pStyle w:val="84"/>
        <w:framePr w:h="8760" w:hRule="exact" w:wrap="notBeside"/>
        <w:rPr>
          <w:rFonts w:hint="eastAsia"/>
          <w:sz w:val="52"/>
          <w:szCs w:val="52"/>
        </w:rPr>
      </w:pPr>
      <w:bookmarkStart w:id="1" w:name="FY"/>
      <w:r>
        <w:rPr>
          <w:rFonts w:hint="eastAsia"/>
          <w:sz w:val="52"/>
          <w:szCs w:val="52"/>
        </w:rPr>
        <w:t>临床应用药物分析检测通用要求</w:t>
      </w:r>
    </w:p>
    <w:p w14:paraId="411D22F5">
      <w:pPr>
        <w:pStyle w:val="84"/>
        <w:framePr w:h="8760" w:hRule="exact" w:wrap="notBeside"/>
        <w:rPr>
          <w:rFonts w:asciiTheme="minorEastAsia" w:hAnsiTheme="minorEastAsia" w:eastAsiaTheme="minorEastAsia"/>
          <w:sz w:val="24"/>
          <w:szCs w:val="21"/>
        </w:rPr>
      </w:pPr>
      <w:r>
        <w:rPr>
          <w:rFonts w:hint="eastAsia" w:asciiTheme="minorEastAsia" w:hAnsiTheme="minorEastAsia" w:eastAsiaTheme="minorEastAsia"/>
          <w:sz w:val="24"/>
          <w:szCs w:val="21"/>
        </w:rPr>
        <w:t>（征求意见稿）</w:t>
      </w:r>
    </w:p>
    <w:p w14:paraId="2F22E828">
      <w:pPr>
        <w:pStyle w:val="84"/>
        <w:framePr w:h="8760" w:hRule="exact" w:wrap="notBeside"/>
        <w:rPr>
          <w:rFonts w:ascii="Times New Roman"/>
          <w:sz w:val="28"/>
          <w:szCs w:val="28"/>
        </w:rPr>
      </w:pPr>
    </w:p>
    <w:p w14:paraId="0D32F0D3">
      <w:pPr>
        <w:pStyle w:val="84"/>
        <w:framePr w:h="8760" w:hRule="exact" w:wrap="notBeside"/>
        <w:rPr>
          <w:rFonts w:ascii="Times New Roman"/>
          <w:szCs w:val="28"/>
        </w:rPr>
      </w:pPr>
      <w:r>
        <w:rPr>
          <w:rFonts w:hint="eastAsia" w:ascii="Times New Roman"/>
          <w:szCs w:val="28"/>
        </w:rPr>
        <w:t>编制说明</w:t>
      </w:r>
    </w:p>
    <w:p w14:paraId="575700E1">
      <w:pPr>
        <w:pStyle w:val="84"/>
        <w:framePr w:h="8760" w:hRule="exact" w:wrap="notBeside"/>
        <w:rPr>
          <w:shd w:val="pct10" w:color="auto" w:fill="FFFFFF"/>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6B8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7AF54D3D">
            <w:pPr>
              <w:pStyle w:val="88"/>
              <w:framePr w:h="8760" w:hRule="exact" w:wrap="notBeside"/>
            </w:pPr>
          </w:p>
          <w:p w14:paraId="7A96378D">
            <w:pPr>
              <w:pStyle w:val="88"/>
              <w:framePr w:h="8760" w:hRule="exact" w:wrap="notBeside"/>
            </w:pPr>
          </w:p>
          <w:p w14:paraId="7798E2E3">
            <w:pPr>
              <w:pStyle w:val="88"/>
              <w:framePr w:h="8760" w:hRule="exact" w:wrap="notBeside"/>
            </w:pPr>
          </w:p>
          <w:p w14:paraId="5C74FD46">
            <w:pPr>
              <w:pStyle w:val="88"/>
              <w:framePr w:h="8760" w:hRule="exact" w:wrap="notBeside"/>
            </w:pPr>
          </w:p>
          <w:p w14:paraId="62784731">
            <w:pPr>
              <w:pStyle w:val="88"/>
              <w:framePr w:h="8760" w:hRule="exact" w:wrap="notBeside"/>
            </w:pPr>
          </w:p>
          <w:p w14:paraId="28F6CBA4">
            <w:pPr>
              <w:pStyle w:val="88"/>
              <w:framePr w:h="8760" w:hRule="exact" w:wrap="notBeside"/>
            </w:pPr>
          </w:p>
          <w:p w14:paraId="377670CD">
            <w:pPr>
              <w:pStyle w:val="88"/>
              <w:framePr w:h="8760" w:hRule="exact" w:wrap="notBeside"/>
            </w:pPr>
          </w:p>
          <w:p w14:paraId="62FD807A">
            <w:pPr>
              <w:pStyle w:val="88"/>
              <w:framePr w:h="8760" w:hRule="exact" w:wrap="notBeside"/>
            </w:pPr>
          </w:p>
          <w:p w14:paraId="321C99E4">
            <w:pPr>
              <w:pStyle w:val="88"/>
              <w:framePr w:h="8760" w:hRule="exact" w:wrap="notBeside"/>
            </w:pPr>
          </w:p>
          <w:p w14:paraId="37CD2453">
            <w:pPr>
              <w:pStyle w:val="88"/>
              <w:framePr w:h="8760" w:hRule="exact" w:wrap="notBeside"/>
              <w:rPr>
                <w:rFonts w:hint="default" w:eastAsia="宋体"/>
                <w:lang w:val="en-US" w:eastAsia="zh-CN"/>
              </w:rPr>
            </w:pPr>
            <w:r>
              <w:rPr>
                <w:rFonts w:hint="eastAsia"/>
                <w:lang w:val="en-US" w:eastAsia="zh-CN"/>
              </w:rPr>
              <w:t>2025</w:t>
            </w:r>
            <w:r>
              <w:rPr>
                <w:rFonts w:hint="eastAsia"/>
              </w:rPr>
              <w:t>-</w:t>
            </w:r>
            <w:r>
              <w:rPr>
                <w:rFonts w:hint="eastAsia"/>
                <w:lang w:val="en-US" w:eastAsia="zh-CN"/>
              </w:rPr>
              <w:t>06</w:t>
            </w:r>
            <w:r>
              <w:rPr>
                <w:rFonts w:hint="eastAsia"/>
              </w:rPr>
              <w:t>-</w:t>
            </w:r>
            <w:r>
              <w:rPr>
                <w:rFonts w:hint="eastAsia"/>
                <w:lang w:val="en-US" w:eastAsia="zh-CN"/>
              </w:rPr>
              <w:t>06</w:t>
            </w:r>
          </w:p>
        </w:tc>
      </w:tr>
      <w:bookmarkEnd w:id="1"/>
    </w:tbl>
    <w:p w14:paraId="789900E5"/>
    <w:p w14:paraId="39D204C2">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rPr>
        <w:tab/>
      </w:r>
    </w:p>
    <w:p w14:paraId="12D41D65"/>
    <w:p w14:paraId="1FBE7D64"/>
    <w:p w14:paraId="480D4A9C"/>
    <w:p w14:paraId="4B5C392F"/>
    <w:p w14:paraId="119F2DB9"/>
    <w:p w14:paraId="21071411"/>
    <w:p w14:paraId="71478030"/>
    <w:p w14:paraId="7E186268"/>
    <w:p w14:paraId="2D847721">
      <w:pPr>
        <w:pStyle w:val="23"/>
      </w:pPr>
    </w:p>
    <w:p w14:paraId="2CEB21E3">
      <w:pPr>
        <w:adjustRightInd w:val="0"/>
        <w:snapToGrid w:val="0"/>
        <w:spacing w:line="240" w:lineRule="atLeast"/>
        <w:jc w:val="center"/>
        <w:rPr>
          <w:rFonts w:eastAsia="方正小标宋简体"/>
          <w:sz w:val="30"/>
          <w:szCs w:val="30"/>
        </w:rPr>
      </w:pPr>
      <w:r>
        <w:rPr>
          <w:rFonts w:hint="eastAsia" w:eastAsia="方正小标宋简体"/>
          <w:sz w:val="30"/>
          <w:szCs w:val="30"/>
        </w:rPr>
        <w:t>《临床应用药物分析检测通用要求》</w:t>
      </w:r>
    </w:p>
    <w:p w14:paraId="758854A5">
      <w:pPr>
        <w:adjustRightInd w:val="0"/>
        <w:snapToGrid w:val="0"/>
        <w:spacing w:line="240" w:lineRule="atLeast"/>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（征求意见稿）编制说明</w:t>
      </w:r>
    </w:p>
    <w:p w14:paraId="6DDBBDBF">
      <w:pPr>
        <w:rPr>
          <w:rFonts w:eastAsia="仿宋_GB2312"/>
          <w:sz w:val="32"/>
          <w:szCs w:val="32"/>
        </w:rPr>
      </w:pPr>
    </w:p>
    <w:p w14:paraId="65982B04">
      <w:pPr>
        <w:spacing w:line="300" w:lineRule="auto"/>
        <w:rPr>
          <w:rFonts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1931BF9C">
      <w:pPr>
        <w:spacing w:line="300" w:lineRule="auto"/>
        <w:rPr>
          <w:rFonts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4E179A8E">
      <w:pPr>
        <w:spacing w:line="300" w:lineRule="auto"/>
        <w:ind w:firstLine="504" w:firstLineChars="200"/>
        <w:jc w:val="both"/>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rPr>
        <w:t>《药物分析临床应用</w:t>
      </w:r>
      <w:r>
        <w:rPr>
          <w:rFonts w:hint="eastAsia" w:ascii="仿宋" w:hAnsi="仿宋" w:eastAsia="仿宋" w:cs="仿宋"/>
          <w:spacing w:val="6"/>
          <w:sz w:val="24"/>
          <w:highlight w:val="none"/>
          <w:lang w:val="en-US" w:eastAsia="zh-CN"/>
        </w:rPr>
        <w:t>技术</w:t>
      </w:r>
      <w:r>
        <w:rPr>
          <w:rFonts w:hint="eastAsia" w:ascii="仿宋" w:hAnsi="仿宋" w:eastAsia="仿宋" w:cs="仿宋"/>
          <w:spacing w:val="6"/>
          <w:sz w:val="24"/>
          <w:highlight w:val="none"/>
        </w:rPr>
        <w:t>通用</w:t>
      </w:r>
      <w:r>
        <w:rPr>
          <w:rFonts w:hint="eastAsia" w:ascii="仿宋" w:hAnsi="仿宋" w:eastAsia="仿宋" w:cs="仿宋"/>
          <w:spacing w:val="6"/>
          <w:sz w:val="24"/>
          <w:highlight w:val="none"/>
          <w:lang w:val="en-US" w:eastAsia="zh-CN"/>
        </w:rPr>
        <w:t>规范</w:t>
      </w:r>
      <w:r>
        <w:rPr>
          <w:rFonts w:hint="eastAsia" w:ascii="仿宋" w:hAnsi="仿宋" w:eastAsia="仿宋" w:cs="仿宋"/>
          <w:spacing w:val="6"/>
          <w:sz w:val="24"/>
          <w:highlight w:val="none"/>
        </w:rPr>
        <w:t>》</w:t>
      </w:r>
      <w:r>
        <w:rPr>
          <w:rFonts w:hint="eastAsia" w:ascii="仿宋" w:hAnsi="仿宋" w:eastAsia="仿宋" w:cs="仿宋"/>
          <w:spacing w:val="6"/>
          <w:sz w:val="24"/>
          <w:highlight w:val="none"/>
          <w:lang w:val="en-US" w:eastAsia="zh-CN"/>
        </w:rPr>
        <w:t>为陕西省精神卫生中心（西安市精神卫生中心）临床应用药物分析检测标准制、修订项目，项目编号：T/CNHAW 0001-2025，2024年1月</w:t>
      </w:r>
      <w:r>
        <w:rPr>
          <w:rFonts w:hint="eastAsia" w:ascii="仿宋" w:hAnsi="仿宋" w:eastAsia="仿宋" w:cs="仿宋"/>
          <w:spacing w:val="6"/>
          <w:sz w:val="24"/>
          <w:highlight w:val="none"/>
        </w:rPr>
        <w:t>中国</w:t>
      </w:r>
      <w:r>
        <w:rPr>
          <w:rFonts w:hint="eastAsia" w:ascii="仿宋" w:hAnsi="仿宋" w:eastAsia="仿宋" w:cs="仿宋"/>
          <w:spacing w:val="6"/>
          <w:sz w:val="24"/>
          <w:highlight w:val="none"/>
          <w:lang w:val="en-US" w:eastAsia="zh-CN"/>
        </w:rPr>
        <w:t>民族卫生</w:t>
      </w:r>
      <w:r>
        <w:rPr>
          <w:rFonts w:hint="eastAsia" w:ascii="仿宋" w:hAnsi="仿宋" w:eastAsia="仿宋" w:cs="仿宋"/>
          <w:spacing w:val="6"/>
          <w:sz w:val="24"/>
          <w:highlight w:val="none"/>
        </w:rPr>
        <w:t>协会</w:t>
      </w:r>
      <w:r>
        <w:rPr>
          <w:rFonts w:hint="eastAsia" w:ascii="仿宋" w:hAnsi="仿宋" w:eastAsia="仿宋" w:cs="仿宋"/>
          <w:spacing w:val="6"/>
          <w:sz w:val="24"/>
          <w:highlight w:val="none"/>
          <w:lang w:val="en-US" w:eastAsia="zh-CN"/>
        </w:rPr>
        <w:t>正式下达陕西省精神卫生中心（西安市精神卫生中心）该标准的起草编制任务。2024年至2025年形成草稿后经多方多次征求意见并修改，专家审查会建议项目名称改为</w:t>
      </w:r>
      <w:r>
        <w:rPr>
          <w:rFonts w:hint="eastAsia" w:ascii="仿宋" w:hAnsi="仿宋" w:eastAsia="仿宋" w:cs="仿宋"/>
          <w:spacing w:val="6"/>
          <w:sz w:val="24"/>
          <w:highlight w:val="none"/>
        </w:rPr>
        <w:t>《临床应用药物分析检测通用要求》</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2025年1月初上报</w:t>
      </w:r>
      <w:r>
        <w:rPr>
          <w:rFonts w:hint="eastAsia" w:ascii="仿宋" w:hAnsi="仿宋" w:eastAsia="仿宋" w:cs="仿宋"/>
          <w:spacing w:val="6"/>
          <w:sz w:val="24"/>
          <w:highlight w:val="none"/>
        </w:rPr>
        <w:t>中国</w:t>
      </w:r>
      <w:r>
        <w:rPr>
          <w:rFonts w:hint="eastAsia" w:ascii="仿宋" w:hAnsi="仿宋" w:eastAsia="仿宋" w:cs="仿宋"/>
          <w:spacing w:val="6"/>
          <w:sz w:val="24"/>
          <w:highlight w:val="none"/>
          <w:lang w:val="en-US" w:eastAsia="zh-CN"/>
        </w:rPr>
        <w:t>民族卫生</w:t>
      </w:r>
      <w:r>
        <w:rPr>
          <w:rFonts w:hint="eastAsia" w:ascii="仿宋" w:hAnsi="仿宋" w:eastAsia="仿宋" w:cs="仿宋"/>
          <w:spacing w:val="6"/>
          <w:sz w:val="24"/>
          <w:highlight w:val="none"/>
        </w:rPr>
        <w:t>协会</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经审查评定2025年1月16日下达该项目立项书，由陕西省精神卫生中心（西安市精神卫生中心）完成标准研制工作。</w:t>
      </w:r>
    </w:p>
    <w:p w14:paraId="4F3FA9FD">
      <w:pPr>
        <w:spacing w:line="300" w:lineRule="auto"/>
        <w:ind w:firstLine="504" w:firstLineChars="200"/>
        <w:jc w:val="both"/>
        <w:rPr>
          <w:rFonts w:hint="eastAsia" w:ascii="仿宋" w:hAnsi="仿宋" w:eastAsia="仿宋" w:cs="仿宋"/>
          <w:spacing w:val="6"/>
          <w:sz w:val="24"/>
          <w:highlight w:val="none"/>
        </w:rPr>
      </w:pPr>
    </w:p>
    <w:p w14:paraId="348B7E6F">
      <w:pPr>
        <w:spacing w:line="300" w:lineRule="auto"/>
        <w:ind w:firstLine="504" w:firstLineChars="200"/>
        <w:jc w:val="both"/>
        <w:rPr>
          <w:rFonts w:hint="eastAsia" w:ascii="仿宋" w:hAnsi="仿宋" w:eastAsia="仿宋" w:cs="仿宋"/>
          <w:spacing w:val="6"/>
          <w:sz w:val="24"/>
          <w:highlight w:val="yellow"/>
        </w:rPr>
      </w:pPr>
      <w:r>
        <w:rPr>
          <w:rFonts w:hint="eastAsia" w:ascii="仿宋" w:hAnsi="仿宋" w:eastAsia="仿宋" w:cs="仿宋"/>
          <w:spacing w:val="6"/>
          <w:sz w:val="24"/>
          <w:highlight w:val="yellow"/>
        </w:rPr>
        <w:t>团体标准《临床应用药物分析检测通用要求》由中国</w:t>
      </w:r>
      <w:r>
        <w:rPr>
          <w:rFonts w:hint="eastAsia" w:ascii="仿宋" w:hAnsi="仿宋" w:eastAsia="仿宋" w:cs="仿宋"/>
          <w:spacing w:val="6"/>
          <w:sz w:val="24"/>
          <w:highlight w:val="yellow"/>
          <w:lang w:val="en-US" w:eastAsia="zh-CN"/>
        </w:rPr>
        <w:t>民族卫生</w:t>
      </w:r>
      <w:r>
        <w:rPr>
          <w:rFonts w:hint="eastAsia" w:ascii="仿宋" w:hAnsi="仿宋" w:eastAsia="仿宋" w:cs="仿宋"/>
          <w:spacing w:val="6"/>
          <w:sz w:val="24"/>
          <w:highlight w:val="yellow"/>
        </w:rPr>
        <w:t>协会于 202</w:t>
      </w:r>
      <w:r>
        <w:rPr>
          <w:rFonts w:hint="eastAsia" w:ascii="仿宋" w:hAnsi="仿宋" w:eastAsia="仿宋" w:cs="仿宋"/>
          <w:spacing w:val="6"/>
          <w:sz w:val="24"/>
          <w:highlight w:val="yellow"/>
          <w:lang w:val="en-US" w:eastAsia="zh-CN"/>
        </w:rPr>
        <w:t>5</w:t>
      </w:r>
      <w:r>
        <w:rPr>
          <w:rFonts w:hint="eastAsia" w:ascii="仿宋" w:hAnsi="仿宋" w:eastAsia="仿宋" w:cs="仿宋"/>
          <w:spacing w:val="6"/>
          <w:sz w:val="24"/>
          <w:highlight w:val="yellow"/>
        </w:rPr>
        <w:t xml:space="preserve"> 年</w:t>
      </w:r>
      <w:r>
        <w:rPr>
          <w:rFonts w:hint="eastAsia" w:ascii="仿宋" w:hAnsi="仿宋" w:eastAsia="仿宋" w:cs="仿宋"/>
          <w:spacing w:val="6"/>
          <w:sz w:val="24"/>
          <w:highlight w:val="yellow"/>
          <w:lang w:val="en-US" w:eastAsia="zh-CN"/>
        </w:rPr>
        <w:t>1</w:t>
      </w:r>
      <w:r>
        <w:rPr>
          <w:rFonts w:hint="eastAsia" w:ascii="仿宋" w:hAnsi="仿宋" w:eastAsia="仿宋" w:cs="仿宋"/>
          <w:spacing w:val="6"/>
          <w:sz w:val="24"/>
          <w:highlight w:val="yellow"/>
        </w:rPr>
        <w:t xml:space="preserve"> 月份批准立项，计划编号：</w:t>
      </w:r>
      <w:r>
        <w:rPr>
          <w:rFonts w:hint="eastAsia" w:ascii="仿宋" w:hAnsi="仿宋" w:eastAsia="仿宋" w:cs="仿宋"/>
          <w:spacing w:val="6"/>
          <w:sz w:val="24"/>
          <w:highlight w:val="yellow"/>
          <w:lang w:val="en-US" w:eastAsia="zh-CN"/>
        </w:rPr>
        <w:t>T/CNHAW 0001-2025</w:t>
      </w:r>
      <w:r>
        <w:rPr>
          <w:rFonts w:hint="eastAsia" w:ascii="仿宋" w:hAnsi="仿宋" w:eastAsia="仿宋" w:cs="仿宋"/>
          <w:spacing w:val="6"/>
          <w:sz w:val="24"/>
          <w:highlight w:val="yellow"/>
        </w:rPr>
        <w:t>号</w:t>
      </w:r>
      <w:r>
        <w:rPr>
          <w:rFonts w:hint="eastAsia" w:ascii="仿宋" w:hAnsi="仿宋" w:eastAsia="仿宋" w:cs="仿宋"/>
          <w:spacing w:val="6"/>
          <w:sz w:val="24"/>
          <w:highlight w:val="yellow"/>
          <w:lang w:eastAsia="zh-CN"/>
        </w:rPr>
        <w:t>，</w:t>
      </w:r>
      <w:r>
        <w:rPr>
          <w:rFonts w:hint="eastAsia" w:ascii="仿宋" w:hAnsi="仿宋" w:eastAsia="仿宋" w:cs="仿宋"/>
          <w:spacing w:val="6"/>
          <w:sz w:val="24"/>
          <w:highlight w:val="yellow"/>
          <w:lang w:val="en-US" w:eastAsia="zh-CN"/>
        </w:rPr>
        <w:t>项目期限：1年</w:t>
      </w:r>
      <w:r>
        <w:rPr>
          <w:rFonts w:hint="eastAsia" w:ascii="仿宋" w:hAnsi="仿宋" w:eastAsia="仿宋" w:cs="仿宋"/>
          <w:spacing w:val="6"/>
          <w:sz w:val="24"/>
          <w:highlight w:val="yellow"/>
        </w:rPr>
        <w:t>。本团体标准由</w:t>
      </w:r>
      <w:r>
        <w:rPr>
          <w:rFonts w:hint="eastAsia" w:ascii="仿宋" w:hAnsi="仿宋" w:eastAsia="仿宋" w:cs="仿宋"/>
          <w:spacing w:val="6"/>
          <w:sz w:val="24"/>
          <w:highlight w:val="yellow"/>
          <w:lang w:val="en-US" w:eastAsia="zh-CN"/>
        </w:rPr>
        <w:t>西安市精神卫生中心（陕西省精神卫生中心）</w:t>
      </w:r>
      <w:r>
        <w:rPr>
          <w:rFonts w:hint="eastAsia" w:ascii="仿宋" w:hAnsi="仿宋" w:eastAsia="仿宋" w:cs="仿宋"/>
          <w:spacing w:val="6"/>
          <w:sz w:val="24"/>
          <w:highlight w:val="yellow"/>
        </w:rPr>
        <w:t>、</w:t>
      </w:r>
      <w:r>
        <w:rPr>
          <w:rFonts w:hint="eastAsia" w:ascii="仿宋" w:hAnsi="仿宋" w:eastAsia="仿宋" w:cs="仿宋"/>
          <w:spacing w:val="6"/>
          <w:sz w:val="24"/>
          <w:highlight w:val="yellow"/>
          <w:lang w:val="en-US" w:eastAsia="zh-CN"/>
        </w:rPr>
        <w:t>北京中日友好医院、西安交通大学第一附属医院</w:t>
      </w:r>
      <w:r>
        <w:rPr>
          <w:rFonts w:hint="eastAsia" w:ascii="仿宋" w:hAnsi="仿宋" w:eastAsia="仿宋" w:cs="仿宋"/>
          <w:spacing w:val="6"/>
          <w:sz w:val="24"/>
          <w:highlight w:val="yellow"/>
        </w:rPr>
        <w:t>、</w:t>
      </w:r>
      <w:r>
        <w:rPr>
          <w:rFonts w:hint="eastAsia" w:ascii="仿宋" w:hAnsi="仿宋" w:eastAsia="仿宋" w:cs="仿宋"/>
          <w:spacing w:val="6"/>
          <w:sz w:val="24"/>
          <w:highlight w:val="yellow"/>
          <w:lang w:val="en-US" w:eastAsia="zh-CN"/>
        </w:rPr>
        <w:t>北京大学第三医院</w:t>
      </w:r>
      <w:r>
        <w:rPr>
          <w:rFonts w:hint="eastAsia" w:ascii="仿宋" w:hAnsi="仿宋" w:eastAsia="仿宋" w:cs="仿宋"/>
          <w:spacing w:val="6"/>
          <w:sz w:val="24"/>
          <w:highlight w:val="yellow"/>
        </w:rPr>
        <w:t>、</w:t>
      </w:r>
      <w:r>
        <w:rPr>
          <w:rFonts w:hint="eastAsia" w:ascii="仿宋" w:hAnsi="仿宋" w:eastAsia="仿宋" w:cs="仿宋"/>
          <w:spacing w:val="6"/>
          <w:sz w:val="24"/>
          <w:highlight w:val="yellow"/>
          <w:lang w:val="en-US" w:eastAsia="zh-CN"/>
        </w:rPr>
        <w:t>宁夏回族自治区宁安医院、岛津企业管理（中国）有限公司</w:t>
      </w:r>
      <w:r>
        <w:rPr>
          <w:rFonts w:hint="eastAsia" w:ascii="仿宋" w:hAnsi="仿宋" w:eastAsia="仿宋" w:cs="仿宋"/>
          <w:spacing w:val="6"/>
          <w:sz w:val="24"/>
          <w:highlight w:val="yellow"/>
        </w:rPr>
        <w:t>等</w:t>
      </w:r>
      <w:r>
        <w:rPr>
          <w:rFonts w:hint="eastAsia" w:ascii="仿宋" w:hAnsi="仿宋" w:eastAsia="仿宋" w:cs="仿宋"/>
          <w:spacing w:val="6"/>
          <w:sz w:val="24"/>
          <w:highlight w:val="yellow"/>
          <w:lang w:val="en-US" w:eastAsia="zh-CN"/>
        </w:rPr>
        <w:t>提出</w:t>
      </w:r>
      <w:r>
        <w:rPr>
          <w:rFonts w:hint="eastAsia" w:ascii="仿宋" w:hAnsi="仿宋" w:eastAsia="仿宋" w:cs="仿宋"/>
          <w:spacing w:val="6"/>
          <w:sz w:val="24"/>
          <w:highlight w:val="yellow"/>
        </w:rPr>
        <w:t>。</w:t>
      </w:r>
    </w:p>
    <w:p w14:paraId="699BB4F6">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（写出协会下达计划的批次，项目名称、项目编号、项目期限、提出单位的信息等。）</w:t>
      </w:r>
    </w:p>
    <w:p w14:paraId="44D591CE">
      <w:pPr>
        <w:spacing w:line="300" w:lineRule="auto"/>
        <w:rPr>
          <w:rFonts w:hint="eastAsia" w:ascii="仿宋" w:hAnsi="仿宋" w:eastAsia="仿宋" w:cs="仿宋"/>
          <w:b/>
          <w:spacing w:val="6"/>
          <w:sz w:val="24"/>
        </w:rPr>
      </w:pPr>
      <w:r>
        <w:rPr>
          <w:rFonts w:hint="eastAsia" w:ascii="仿宋" w:hAnsi="仿宋" w:eastAsia="仿宋" w:cs="仿宋"/>
          <w:b/>
          <w:spacing w:val="6"/>
          <w:sz w:val="24"/>
        </w:rPr>
        <w:t>1.2  协作单位</w:t>
      </w:r>
    </w:p>
    <w:p w14:paraId="4833796A">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本标准主要起草单位为：陕西省精神卫生中心（西安市精神卫生中心）。</w:t>
      </w:r>
    </w:p>
    <w:p w14:paraId="7193B114">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加起草的单位包括：北京中日友好医院、西安交通大学第一附属医院、北京大学第三医院、宁夏回族自治区宁安医院、岛津企业管理（中国）有限公司、西安国际医学中心医院、中国医学科学院阜外医院、上海市精神卫生中心、阿克苏地区第四人民医院（康宁医院）、陕西省药品和疫苗检查中心、新疆精神卫生中心（乌鲁木齐市第四人民医院）、内蒙古自治区精神卫生中心、宁波市医疗中心李惠利医院、绵阳市第三人民医院、厦门市仙岳医院、西安交通大学第二附属医院、内蒙古自治区人民医院、中国医学科学院北京协和医院、北京和睦家京北妇儿医院、西安大兴医院、西安市胸科医院、汉中市精神病医院、河北燕达陆道培医院、西安医学院第一附属医院、榆林市第五医院、深圳华大基因股份有限公司。</w:t>
      </w:r>
    </w:p>
    <w:p w14:paraId="42068D3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p>
    <w:p w14:paraId="34D9706A">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（写出牵头单位及参编单位信息。）</w:t>
      </w:r>
    </w:p>
    <w:p w14:paraId="769EECC9">
      <w:pPr>
        <w:spacing w:line="300" w:lineRule="auto"/>
        <w:rPr>
          <w:rFonts w:ascii="仿宋" w:hAnsi="仿宋" w:eastAsia="仿宋" w:cs="仿宋"/>
          <w:spacing w:val="6"/>
          <w:sz w:val="24"/>
        </w:rPr>
      </w:pPr>
    </w:p>
    <w:p w14:paraId="2356B795">
      <w:pPr>
        <w:spacing w:line="300" w:lineRule="auto"/>
        <w:rPr>
          <w:rFonts w:ascii="仿宋" w:hAnsi="仿宋" w:eastAsia="仿宋" w:cs="仿宋"/>
          <w:b/>
          <w:sz w:val="24"/>
        </w:rPr>
      </w:pPr>
      <w:r>
        <w:rPr>
          <w:rFonts w:hint="eastAsia" w:ascii="仿宋" w:hAnsi="仿宋" w:eastAsia="仿宋" w:cs="仿宋"/>
          <w:b/>
          <w:sz w:val="24"/>
        </w:rPr>
        <w:t>2  编制工作组简况</w:t>
      </w:r>
    </w:p>
    <w:p w14:paraId="37F8FD8E">
      <w:pPr>
        <w:spacing w:line="300" w:lineRule="auto"/>
        <w:rPr>
          <w:rFonts w:hint="eastAsia" w:ascii="仿宋" w:hAnsi="仿宋" w:eastAsia="仿宋" w:cs="仿宋"/>
          <w:b/>
          <w:sz w:val="24"/>
        </w:rPr>
      </w:pPr>
      <w:r>
        <w:rPr>
          <w:rFonts w:hint="eastAsia" w:ascii="仿宋" w:hAnsi="仿宋" w:eastAsia="仿宋" w:cs="仿宋"/>
          <w:b/>
          <w:sz w:val="24"/>
        </w:rPr>
        <w:t>2.1  编制工作组及其成员情况</w:t>
      </w:r>
    </w:p>
    <w:p w14:paraId="7C63031F">
      <w:pPr>
        <w:spacing w:line="300" w:lineRule="auto"/>
        <w:rPr>
          <w:rFonts w:hint="eastAsia" w:ascii="仿宋" w:hAnsi="仿宋" w:eastAsia="仿宋" w:cs="仿宋"/>
          <w:b/>
          <w:spacing w:val="6"/>
          <w:sz w:val="24"/>
          <w:lang w:val="en-US"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4992"/>
        <w:gridCol w:w="3190"/>
      </w:tblGrid>
      <w:tr w14:paraId="58D6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8845A3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b/>
                <w:bCs/>
                <w:spacing w:val="6"/>
                <w:sz w:val="24"/>
                <w:highlight w:val="none"/>
                <w:lang w:val="en-US" w:eastAsia="zh-CN"/>
              </w:rPr>
            </w:pPr>
            <w:r>
              <w:rPr>
                <w:rFonts w:hint="eastAsia" w:ascii="仿宋" w:hAnsi="仿宋" w:eastAsia="仿宋" w:cs="仿宋"/>
                <w:b/>
                <w:bCs/>
                <w:spacing w:val="6"/>
                <w:sz w:val="24"/>
                <w:highlight w:val="none"/>
                <w:lang w:val="en-US" w:eastAsia="zh-CN"/>
              </w:rPr>
              <w:t>承担工作</w:t>
            </w:r>
          </w:p>
        </w:tc>
        <w:tc>
          <w:tcPr>
            <w:tcW w:w="4992" w:type="dxa"/>
          </w:tcPr>
          <w:p w14:paraId="1AB6743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b/>
                <w:bCs/>
                <w:spacing w:val="6"/>
                <w:sz w:val="24"/>
                <w:highlight w:val="none"/>
                <w:lang w:val="en-US" w:eastAsia="zh-CN"/>
              </w:rPr>
            </w:pPr>
            <w:r>
              <w:rPr>
                <w:rFonts w:hint="eastAsia" w:ascii="仿宋" w:hAnsi="仿宋" w:eastAsia="仿宋" w:cs="仿宋"/>
                <w:b/>
                <w:bCs/>
                <w:spacing w:val="6"/>
                <w:sz w:val="24"/>
                <w:highlight w:val="none"/>
                <w:lang w:val="en-US" w:eastAsia="zh-CN"/>
              </w:rPr>
              <w:t>单位名称</w:t>
            </w:r>
          </w:p>
        </w:tc>
        <w:tc>
          <w:tcPr>
            <w:tcW w:w="3190" w:type="dxa"/>
          </w:tcPr>
          <w:p w14:paraId="6E9010A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b/>
                <w:bCs/>
                <w:spacing w:val="6"/>
                <w:sz w:val="24"/>
                <w:highlight w:val="none"/>
                <w:lang w:val="en-US" w:eastAsia="zh-CN"/>
              </w:rPr>
            </w:pPr>
            <w:r>
              <w:rPr>
                <w:rFonts w:hint="eastAsia" w:ascii="仿宋" w:hAnsi="仿宋" w:eastAsia="仿宋" w:cs="仿宋"/>
                <w:b/>
                <w:bCs/>
                <w:spacing w:val="6"/>
                <w:sz w:val="24"/>
                <w:highlight w:val="none"/>
                <w:lang w:val="en-US" w:eastAsia="zh-CN"/>
              </w:rPr>
              <w:t>协作专家</w:t>
            </w:r>
          </w:p>
        </w:tc>
      </w:tr>
      <w:tr w14:paraId="4C4E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2607D57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牵头单位</w:t>
            </w:r>
          </w:p>
        </w:tc>
        <w:tc>
          <w:tcPr>
            <w:tcW w:w="4992" w:type="dxa"/>
          </w:tcPr>
          <w:p w14:paraId="3BEE253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西安市精神卫生中心</w:t>
            </w:r>
          </w:p>
          <w:p w14:paraId="400BB8F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（陕西省精神卫生中心）</w:t>
            </w:r>
          </w:p>
        </w:tc>
        <w:tc>
          <w:tcPr>
            <w:tcW w:w="3190" w:type="dxa"/>
          </w:tcPr>
          <w:p w14:paraId="4A51B0E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张燕、钱露、田玉梅</w:t>
            </w:r>
          </w:p>
        </w:tc>
      </w:tr>
      <w:tr w14:paraId="5AEE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B5CAAD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指导单位</w:t>
            </w:r>
          </w:p>
        </w:tc>
        <w:tc>
          <w:tcPr>
            <w:tcW w:w="4992" w:type="dxa"/>
          </w:tcPr>
          <w:p w14:paraId="6D68ED8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北京中日友好医院</w:t>
            </w:r>
          </w:p>
        </w:tc>
        <w:tc>
          <w:tcPr>
            <w:tcW w:w="3190" w:type="dxa"/>
          </w:tcPr>
          <w:p w14:paraId="65E59EC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张相林</w:t>
            </w:r>
          </w:p>
        </w:tc>
      </w:tr>
      <w:tr w14:paraId="051F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726253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指导单位</w:t>
            </w:r>
          </w:p>
        </w:tc>
        <w:tc>
          <w:tcPr>
            <w:tcW w:w="4992" w:type="dxa"/>
          </w:tcPr>
          <w:p w14:paraId="142F1E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西安交通大学第一附属医院</w:t>
            </w:r>
          </w:p>
        </w:tc>
        <w:tc>
          <w:tcPr>
            <w:tcW w:w="3190" w:type="dxa"/>
          </w:tcPr>
          <w:p w14:paraId="05A658F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董亚琳、邹余粮</w:t>
            </w:r>
          </w:p>
        </w:tc>
      </w:tr>
      <w:tr w14:paraId="4BA9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E64018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tcPr>
          <w:p w14:paraId="0198BFD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首都医科大学附属北京安定医院</w:t>
            </w:r>
          </w:p>
        </w:tc>
        <w:tc>
          <w:tcPr>
            <w:tcW w:w="3190" w:type="dxa"/>
          </w:tcPr>
          <w:p w14:paraId="29EB06E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果伟</w:t>
            </w:r>
          </w:p>
        </w:tc>
      </w:tr>
      <w:tr w14:paraId="3E99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589A4E7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tcPr>
          <w:p w14:paraId="017CE13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中南大学</w:t>
            </w:r>
          </w:p>
        </w:tc>
        <w:tc>
          <w:tcPr>
            <w:tcW w:w="3190" w:type="dxa"/>
          </w:tcPr>
          <w:p w14:paraId="030B2F4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蔡骅琳</w:t>
            </w:r>
          </w:p>
        </w:tc>
      </w:tr>
      <w:tr w14:paraId="3D8A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E11BBC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参编单位</w:t>
            </w:r>
          </w:p>
        </w:tc>
        <w:tc>
          <w:tcPr>
            <w:tcW w:w="4992" w:type="dxa"/>
          </w:tcPr>
          <w:p w14:paraId="35899D4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北京大学第三医院</w:t>
            </w:r>
          </w:p>
        </w:tc>
        <w:tc>
          <w:tcPr>
            <w:tcW w:w="3190" w:type="dxa"/>
          </w:tcPr>
          <w:p w14:paraId="4BE0ADF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rPr>
              <w:t>司文喆</w:t>
            </w:r>
          </w:p>
        </w:tc>
      </w:tr>
      <w:tr w14:paraId="3F3F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D37125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参编单位</w:t>
            </w:r>
          </w:p>
        </w:tc>
        <w:tc>
          <w:tcPr>
            <w:tcW w:w="4992" w:type="dxa"/>
          </w:tcPr>
          <w:p w14:paraId="6A637B8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宁夏回族自治区宁安医院</w:t>
            </w:r>
          </w:p>
        </w:tc>
        <w:tc>
          <w:tcPr>
            <w:tcW w:w="3190" w:type="dxa"/>
          </w:tcPr>
          <w:p w14:paraId="42F4C9E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rPr>
              <w:t>邢莉</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陈洋</w:t>
            </w:r>
          </w:p>
        </w:tc>
      </w:tr>
      <w:tr w14:paraId="1128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71CBCE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tcPr>
          <w:p w14:paraId="3EC6A0B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岛津企业管理（中国）有限公司</w:t>
            </w:r>
          </w:p>
        </w:tc>
        <w:tc>
          <w:tcPr>
            <w:tcW w:w="3190" w:type="dxa"/>
            <w:vAlign w:val="center"/>
          </w:tcPr>
          <w:p w14:paraId="6194995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姜啸龙、齐亚峰</w:t>
            </w:r>
          </w:p>
        </w:tc>
      </w:tr>
      <w:tr w14:paraId="09CC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7FFB017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1E2912A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西安国际医学中心医院</w:t>
            </w:r>
          </w:p>
        </w:tc>
        <w:tc>
          <w:tcPr>
            <w:tcW w:w="3190" w:type="dxa"/>
            <w:vAlign w:val="center"/>
          </w:tcPr>
          <w:p w14:paraId="2FE4C31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袁海玲</w:t>
            </w:r>
          </w:p>
        </w:tc>
      </w:tr>
      <w:tr w14:paraId="75BA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82CD3A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65BA064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中国医学科学院阜外医院</w:t>
            </w:r>
          </w:p>
        </w:tc>
        <w:tc>
          <w:tcPr>
            <w:tcW w:w="3190" w:type="dxa"/>
            <w:vAlign w:val="center"/>
          </w:tcPr>
          <w:p w14:paraId="3F522FD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刘朝晖</w:t>
            </w:r>
          </w:p>
        </w:tc>
      </w:tr>
      <w:tr w14:paraId="32DA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381017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DD51A5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上海市精神卫生中心</w:t>
            </w:r>
          </w:p>
        </w:tc>
        <w:tc>
          <w:tcPr>
            <w:tcW w:w="3190" w:type="dxa"/>
            <w:vAlign w:val="center"/>
          </w:tcPr>
          <w:p w14:paraId="6FB52ED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张建明</w:t>
            </w:r>
          </w:p>
        </w:tc>
      </w:tr>
      <w:tr w14:paraId="099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FF6AFB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1C829D4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阿克苏地区第四人民医院（康宁医院）</w:t>
            </w:r>
          </w:p>
        </w:tc>
        <w:tc>
          <w:tcPr>
            <w:tcW w:w="3190" w:type="dxa"/>
            <w:vAlign w:val="center"/>
          </w:tcPr>
          <w:p w14:paraId="047F02B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张伟</w:t>
            </w:r>
          </w:p>
        </w:tc>
      </w:tr>
      <w:tr w14:paraId="1F3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31BF06F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F0CE95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深圳康宁医院</w:t>
            </w:r>
          </w:p>
        </w:tc>
        <w:tc>
          <w:tcPr>
            <w:tcW w:w="3190" w:type="dxa"/>
            <w:vAlign w:val="center"/>
          </w:tcPr>
          <w:p w14:paraId="044FFD8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曾环思、钟彩妮</w:t>
            </w:r>
          </w:p>
        </w:tc>
      </w:tr>
      <w:tr w14:paraId="2F70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6C31DD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121F2E1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陕西省药品和疫苗检查中心</w:t>
            </w:r>
          </w:p>
        </w:tc>
        <w:tc>
          <w:tcPr>
            <w:tcW w:w="3190" w:type="dxa"/>
            <w:vAlign w:val="center"/>
          </w:tcPr>
          <w:p w14:paraId="5B1FB87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李婵</w:t>
            </w:r>
          </w:p>
        </w:tc>
      </w:tr>
      <w:tr w14:paraId="0465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8BF2E3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6CF1E3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新疆精神卫生中心</w:t>
            </w:r>
          </w:p>
          <w:p w14:paraId="465C7E3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lang w:val="en-US" w:eastAsia="zh-CN"/>
              </w:rPr>
              <w:t>（乌鲁木齐市第四人民医院）</w:t>
            </w:r>
          </w:p>
        </w:tc>
        <w:tc>
          <w:tcPr>
            <w:tcW w:w="3190" w:type="dxa"/>
            <w:vAlign w:val="center"/>
          </w:tcPr>
          <w:p w14:paraId="18E6B7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罗瑾</w:t>
            </w:r>
          </w:p>
        </w:tc>
      </w:tr>
      <w:tr w14:paraId="388B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8A107B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0FD4201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内蒙古自治区精神卫生中心</w:t>
            </w:r>
          </w:p>
        </w:tc>
        <w:tc>
          <w:tcPr>
            <w:tcW w:w="3190" w:type="dxa"/>
            <w:vAlign w:val="center"/>
          </w:tcPr>
          <w:p w14:paraId="415C0D4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马睿婷</w:t>
            </w:r>
          </w:p>
        </w:tc>
      </w:tr>
      <w:tr w14:paraId="1887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25D43A9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249D842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宁波市医疗中心李惠利医院</w:t>
            </w:r>
          </w:p>
        </w:tc>
        <w:tc>
          <w:tcPr>
            <w:tcW w:w="3190" w:type="dxa"/>
            <w:vAlign w:val="center"/>
          </w:tcPr>
          <w:p w14:paraId="0B718E6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吴娇芬</w:t>
            </w:r>
          </w:p>
        </w:tc>
      </w:tr>
      <w:tr w14:paraId="2942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021C11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F923F8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绵阳市第三人民医院</w:t>
            </w:r>
          </w:p>
        </w:tc>
        <w:tc>
          <w:tcPr>
            <w:tcW w:w="3190" w:type="dxa"/>
            <w:vAlign w:val="center"/>
          </w:tcPr>
          <w:p w14:paraId="1A28202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何淼泉</w:t>
            </w:r>
          </w:p>
        </w:tc>
      </w:tr>
      <w:tr w14:paraId="10F8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3AF7BBC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1493EF6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武汉市精神卫生中心</w:t>
            </w:r>
          </w:p>
        </w:tc>
        <w:tc>
          <w:tcPr>
            <w:tcW w:w="3190" w:type="dxa"/>
            <w:vAlign w:val="center"/>
          </w:tcPr>
          <w:p w14:paraId="6A54C11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王晓玥</w:t>
            </w:r>
          </w:p>
        </w:tc>
      </w:tr>
      <w:tr w14:paraId="662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0DC6C7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63D4922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厦门市仙岳医院</w:t>
            </w:r>
          </w:p>
        </w:tc>
        <w:tc>
          <w:tcPr>
            <w:tcW w:w="3190" w:type="dxa"/>
            <w:vAlign w:val="center"/>
          </w:tcPr>
          <w:p w14:paraId="709DFB1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陈彬彬</w:t>
            </w:r>
          </w:p>
        </w:tc>
      </w:tr>
      <w:tr w14:paraId="3E0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6E39B1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62AA217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西北大学</w:t>
            </w:r>
          </w:p>
        </w:tc>
        <w:tc>
          <w:tcPr>
            <w:tcW w:w="3190" w:type="dxa"/>
            <w:vAlign w:val="center"/>
          </w:tcPr>
          <w:p w14:paraId="67AC8AC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曹艳君</w:t>
            </w:r>
          </w:p>
        </w:tc>
      </w:tr>
      <w:tr w14:paraId="5EEB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CD9907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60FEA8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西安交通大学第二附属医院</w:t>
            </w:r>
          </w:p>
        </w:tc>
        <w:tc>
          <w:tcPr>
            <w:tcW w:w="3190" w:type="dxa"/>
            <w:vAlign w:val="center"/>
          </w:tcPr>
          <w:p w14:paraId="68C9F25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郭瑛</w:t>
            </w:r>
          </w:p>
        </w:tc>
      </w:tr>
      <w:tr w14:paraId="0BB7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730E109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227DD86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内蒙古自治区人民医院</w:t>
            </w:r>
          </w:p>
        </w:tc>
        <w:tc>
          <w:tcPr>
            <w:tcW w:w="3190" w:type="dxa"/>
            <w:vAlign w:val="center"/>
          </w:tcPr>
          <w:p w14:paraId="51185E7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戴立波、杨宏昕</w:t>
            </w:r>
          </w:p>
        </w:tc>
      </w:tr>
      <w:tr w14:paraId="036B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3889EA6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217F291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中国医学科学院北京协和医院</w:t>
            </w:r>
          </w:p>
        </w:tc>
        <w:tc>
          <w:tcPr>
            <w:tcW w:w="3190" w:type="dxa"/>
            <w:vAlign w:val="center"/>
          </w:tcPr>
          <w:p w14:paraId="7DF259F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汪自然、杨卓</w:t>
            </w:r>
          </w:p>
        </w:tc>
      </w:tr>
      <w:tr w14:paraId="323D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5A2BCAA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47880F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北京和睦家京北妇儿医院</w:t>
            </w:r>
          </w:p>
        </w:tc>
        <w:tc>
          <w:tcPr>
            <w:tcW w:w="3190" w:type="dxa"/>
            <w:vAlign w:val="center"/>
          </w:tcPr>
          <w:p w14:paraId="5529A80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陈立龙</w:t>
            </w:r>
          </w:p>
        </w:tc>
      </w:tr>
      <w:tr w14:paraId="144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A31201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1F7EA14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西安大兴医院</w:t>
            </w:r>
          </w:p>
        </w:tc>
        <w:tc>
          <w:tcPr>
            <w:tcW w:w="3190" w:type="dxa"/>
            <w:vAlign w:val="center"/>
          </w:tcPr>
          <w:p w14:paraId="30C7091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赵美</w:t>
            </w:r>
          </w:p>
        </w:tc>
      </w:tr>
      <w:tr w14:paraId="29C8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28F685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6B294ED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西安市胸科医院</w:t>
            </w:r>
          </w:p>
        </w:tc>
        <w:tc>
          <w:tcPr>
            <w:tcW w:w="3190" w:type="dxa"/>
            <w:vAlign w:val="center"/>
          </w:tcPr>
          <w:p w14:paraId="7848773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赵嫄</w:t>
            </w:r>
          </w:p>
        </w:tc>
      </w:tr>
      <w:tr w14:paraId="5EFA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30C52F1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2613446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汉中市精神病医院</w:t>
            </w:r>
          </w:p>
        </w:tc>
        <w:tc>
          <w:tcPr>
            <w:tcW w:w="3190" w:type="dxa"/>
            <w:vAlign w:val="center"/>
          </w:tcPr>
          <w:p w14:paraId="23C0F7D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杨春娟</w:t>
            </w:r>
          </w:p>
        </w:tc>
      </w:tr>
      <w:tr w14:paraId="17BA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3CB89BD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2B85425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河北燕达陆道培医院</w:t>
            </w:r>
          </w:p>
        </w:tc>
        <w:tc>
          <w:tcPr>
            <w:tcW w:w="3190" w:type="dxa"/>
            <w:vAlign w:val="center"/>
          </w:tcPr>
          <w:p w14:paraId="18661AD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王磊、陈佳琦</w:t>
            </w:r>
          </w:p>
        </w:tc>
      </w:tr>
      <w:tr w14:paraId="7DF0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23D66FA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769B76C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西安医学院第</w:t>
            </w:r>
            <w:bookmarkStart w:id="2" w:name="_GoBack"/>
            <w:bookmarkEnd w:id="2"/>
            <w:r>
              <w:rPr>
                <w:rFonts w:hint="eastAsia" w:ascii="仿宋" w:hAnsi="仿宋" w:eastAsia="仿宋" w:cs="仿宋"/>
                <w:spacing w:val="6"/>
                <w:sz w:val="24"/>
                <w:highlight w:val="none"/>
                <w:lang w:val="en-US" w:eastAsia="zh-CN"/>
              </w:rPr>
              <w:t>一附属医院</w:t>
            </w:r>
          </w:p>
        </w:tc>
        <w:tc>
          <w:tcPr>
            <w:tcW w:w="3190" w:type="dxa"/>
            <w:shd w:val="clear" w:color="auto" w:fill="auto"/>
            <w:vAlign w:val="center"/>
          </w:tcPr>
          <w:p w14:paraId="29AC0F8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龙丽辉</w:t>
            </w:r>
          </w:p>
        </w:tc>
      </w:tr>
      <w:tr w14:paraId="6AF7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693B96C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0B49597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榆林市第五医院</w:t>
            </w:r>
          </w:p>
        </w:tc>
        <w:tc>
          <w:tcPr>
            <w:tcW w:w="3190" w:type="dxa"/>
            <w:vAlign w:val="center"/>
          </w:tcPr>
          <w:p w14:paraId="3FF07FE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赵璠、段逍、李艳茸</w:t>
            </w:r>
          </w:p>
        </w:tc>
      </w:tr>
      <w:tr w14:paraId="5A00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A95E8E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4DF992B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北京佑安医院</w:t>
            </w:r>
          </w:p>
        </w:tc>
        <w:tc>
          <w:tcPr>
            <w:tcW w:w="3190" w:type="dxa"/>
            <w:vAlign w:val="center"/>
          </w:tcPr>
          <w:p w14:paraId="425406E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刘宁</w:t>
            </w:r>
          </w:p>
        </w:tc>
      </w:tr>
      <w:tr w14:paraId="7BCF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14:paraId="6E1C83D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参编单位</w:t>
            </w:r>
          </w:p>
        </w:tc>
        <w:tc>
          <w:tcPr>
            <w:tcW w:w="4992" w:type="dxa"/>
            <w:vAlign w:val="center"/>
          </w:tcPr>
          <w:p w14:paraId="7421B6D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shd w:val="clear" w:fill="FFFFFF" w:themeFill="background1"/>
                <w:lang w:val="en-US" w:eastAsia="zh-CN"/>
              </w:rPr>
              <w:t>深圳华大基因股份有限公司</w:t>
            </w:r>
          </w:p>
        </w:tc>
        <w:tc>
          <w:tcPr>
            <w:tcW w:w="3190" w:type="dxa"/>
            <w:vAlign w:val="center"/>
          </w:tcPr>
          <w:p w14:paraId="7D0C72E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刘宇、王远</w:t>
            </w:r>
          </w:p>
        </w:tc>
      </w:tr>
    </w:tbl>
    <w:p w14:paraId="5051005D">
      <w:pPr>
        <w:spacing w:line="300" w:lineRule="auto"/>
        <w:rPr>
          <w:rFonts w:hint="eastAsia" w:ascii="仿宋" w:hAnsi="仿宋" w:eastAsia="仿宋" w:cs="仿宋"/>
          <w:b/>
          <w:sz w:val="24"/>
        </w:rPr>
      </w:pPr>
    </w:p>
    <w:p w14:paraId="754864F8">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（说明编制组的构成，如“业主单位、建设单位、设计单位、生产单位、科研院所、检验认证机构”等。）</w:t>
      </w:r>
    </w:p>
    <w:p w14:paraId="4ED0E4F5">
      <w:pPr>
        <w:spacing w:line="300" w:lineRule="auto"/>
        <w:rPr>
          <w:rFonts w:hint="eastAsia" w:ascii="仿宋" w:hAnsi="仿宋" w:eastAsia="仿宋" w:cs="仿宋"/>
          <w:b/>
          <w:sz w:val="24"/>
        </w:rPr>
      </w:pPr>
      <w:r>
        <w:rPr>
          <w:rFonts w:hint="eastAsia" w:ascii="仿宋" w:hAnsi="仿宋" w:eastAsia="仿宋" w:cs="仿宋"/>
          <w:b/>
          <w:sz w:val="24"/>
        </w:rPr>
        <w:t>2.2  标准主要起草人及其所做的工作</w:t>
      </w:r>
    </w:p>
    <w:p w14:paraId="1257DC46">
      <w:pPr>
        <w:spacing w:line="300" w:lineRule="auto"/>
        <w:ind w:firstLine="504" w:firstLineChars="200"/>
        <w:jc w:val="both"/>
        <w:rPr>
          <w:rFonts w:hint="eastAsia" w:ascii="仿宋" w:hAnsi="仿宋" w:eastAsia="仿宋" w:cs="仿宋"/>
          <w:b/>
          <w:sz w:val="24"/>
        </w:rPr>
      </w:pPr>
      <w:r>
        <w:rPr>
          <w:rFonts w:hint="eastAsia" w:ascii="仿宋" w:hAnsi="仿宋" w:eastAsia="仿宋" w:cs="仿宋"/>
          <w:spacing w:val="6"/>
          <w:sz w:val="24"/>
          <w:highlight w:val="none"/>
          <w:lang w:val="en-US" w:eastAsia="zh-CN"/>
        </w:rPr>
        <w:t>从2024年开始，编制工作组严格按照《中华人民共和国药典》和《标准化工作导则第一部分：标准的结构和编写规则》（GB/T1.1-2020）要求，由陕西省精神卫生中心（西安市精神卫生中心）组织陕西省精神卫生中心（西安市精神卫生中心）、北京中日友好医院、西安交通大学第一附属医院、西安国际医学中心医院、中国医学科学院阜外医院、深圳华大基因股份有限公司有关人员组成标准起草小组，负责本标准的起草工作。由张燕组织指导专家张相林、董亚琳和主要工作人员袁海玲、刘朝晖、姜啸龙、刘宇组成标准起草小组，负责本标准的起草工作，本标准主要起草人均为从事药物分析临床检测方法开发、临床应用的研究人员和技术人员，长期在药物分析科研一线工作，对各类药物分析方法、科研设备、临床应用的国内外现状具有深刻认知，各专业人员负责本专业领域的编写。袁海玲、刘宇负责草案统稿统编，张燕汇总修正编写，张相林明确了工作指导思想，董亚琳制定了工作原则，全员参与了本标准的国内临床应用现状调研、国内外资料收集整理和标准的起草、编写、修改等工作，既有任务分工又有统筹合作。</w:t>
      </w:r>
    </w:p>
    <w:p w14:paraId="5DDE4A7B">
      <w:pPr>
        <w:spacing w:line="300" w:lineRule="auto"/>
        <w:ind w:firstLine="482" w:firstLineChars="200"/>
        <w:jc w:val="both"/>
        <w:rPr>
          <w:rFonts w:hint="eastAsia" w:ascii="仿宋" w:hAnsi="仿宋" w:eastAsia="仿宋" w:cs="仿宋"/>
          <w:b/>
          <w:sz w:val="24"/>
        </w:rPr>
      </w:pPr>
    </w:p>
    <w:p w14:paraId="2826C8B5">
      <w:pPr>
        <w:spacing w:line="300" w:lineRule="auto"/>
        <w:rPr>
          <w:rFonts w:ascii="仿宋" w:hAnsi="仿宋" w:eastAsia="仿宋" w:cs="仿宋"/>
          <w:sz w:val="24"/>
        </w:rPr>
      </w:pPr>
      <w:r>
        <w:rPr>
          <w:rFonts w:hint="eastAsia" w:ascii="仿宋" w:hAnsi="仿宋" w:eastAsia="仿宋" w:cs="仿宋"/>
          <w:sz w:val="24"/>
        </w:rPr>
        <w:t>（明确起草人及工作任务，建议分工明确到章节。）</w:t>
      </w:r>
    </w:p>
    <w:p w14:paraId="2E0581BE">
      <w:pPr>
        <w:spacing w:line="300" w:lineRule="auto"/>
        <w:rPr>
          <w:rFonts w:hint="eastAsia" w:ascii="仿宋" w:hAnsi="仿宋" w:eastAsia="仿宋" w:cs="仿宋"/>
          <w:b/>
          <w:sz w:val="24"/>
        </w:rPr>
      </w:pPr>
      <w:r>
        <w:rPr>
          <w:rFonts w:hint="eastAsia" w:ascii="仿宋" w:hAnsi="仿宋" w:eastAsia="仿宋" w:cs="仿宋"/>
          <w:b/>
          <w:sz w:val="24"/>
        </w:rPr>
        <w:t>3  起草阶段的主要工作内容</w:t>
      </w:r>
    </w:p>
    <w:p w14:paraId="3DF31C3D">
      <w:pPr>
        <w:spacing w:line="300" w:lineRule="auto"/>
        <w:ind w:firstLine="504" w:firstLineChars="200"/>
        <w:jc w:val="both"/>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（1）组织分工</w:t>
      </w:r>
    </w:p>
    <w:p w14:paraId="595562B8">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发起单位：由陕西省精神卫生中心（西安市精神卫生中心）牵头组建，成员包括行业协会负责人、领域权威专家。负责统筹标准撰写工作，把控整体方向，协调跨部门资源，审核重大技术问题及决策，确保标准符合国家法规与行业发展需求。</w:t>
      </w:r>
    </w:p>
    <w:p w14:paraId="6BFBC462">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技术专家组：由北京中日友好医院、西安交通大学第一附属医院、行业药物分析领域专家构成，负责分析技术理论研究、方法验证、标准技术指标拟定，参考国内外研究成果与实践经验，提供技术支撑与理论依据。</w:t>
      </w:r>
    </w:p>
    <w:p w14:paraId="41FF983E">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临床应用组：由陕西省精神卫生中心（西安市精神卫生中心）联合西安国际医学中心医院、中国医学科学院阜外医院等三甲医院临床药师、药物分析药师、检验科医师，基于临床实际需求，提出样本采集、处理及检测流程规范，确保标准适用性。</w:t>
      </w:r>
    </w:p>
    <w:p w14:paraId="7CBCBED2">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法规标准组：由陕西省精神卫生中心（西安市精神卫生中心）组织标准化专家、法规研究人员，梳理国家法律法规、强制性标准，保障标准编制符合相关要求，实现与现有标准的协调统一。</w:t>
      </w:r>
    </w:p>
    <w:p w14:paraId="4FD05251">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实验室验证组：选取具备资质的第三方检测机构、医疗机构实验室，对标准草案中的检测方法、质控流程等进行验证，收集数据并分析，反馈验证结果。</w:t>
      </w:r>
    </w:p>
    <w:p w14:paraId="0A4F8715">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审核组：邀请行业内不同领域专家、企业代表，对标准草案进行全面审核，提出修改意见，确保标准科学性、严谨性与可操作性。</w:t>
      </w:r>
    </w:p>
    <w:p w14:paraId="54804027">
      <w:pPr>
        <w:spacing w:line="300" w:lineRule="auto"/>
        <w:ind w:firstLine="504" w:firstLineChars="200"/>
        <w:jc w:val="both"/>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（2）资料收集</w:t>
      </w:r>
    </w:p>
    <w:p w14:paraId="5FB898CD">
      <w:p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起草小组系统地收集和整理国内外有关</w:t>
      </w:r>
      <w:r>
        <w:rPr>
          <w:rFonts w:hint="eastAsia" w:ascii="仿宋" w:hAnsi="仿宋" w:eastAsia="仿宋" w:cs="仿宋"/>
          <w:spacing w:val="6"/>
          <w:sz w:val="24"/>
          <w:highlight w:val="none"/>
        </w:rPr>
        <w:t>药物分析检测</w:t>
      </w:r>
      <w:r>
        <w:rPr>
          <w:rFonts w:hint="eastAsia" w:ascii="仿宋" w:hAnsi="仿宋" w:eastAsia="仿宋" w:cs="仿宋"/>
          <w:spacing w:val="6"/>
          <w:sz w:val="24"/>
          <w:highlight w:val="none"/>
          <w:lang w:val="en-US" w:eastAsia="zh-CN"/>
        </w:rPr>
        <w:t>的标准、文献、政策等信息资料，梳理国际上主流的临床应用要求体系，以及我国药物分析临床应用现状。综合临床应用经验与相关学术研究成果，汇总当下我国临床应用药物分析检测存在的问题，以及提取本标准编制所需的资料信息。</w:t>
      </w:r>
    </w:p>
    <w:p w14:paraId="3E9D3FAF">
      <w:pPr>
        <w:numPr>
          <w:ilvl w:val="0"/>
          <w:numId w:val="2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标准编写</w:t>
      </w:r>
    </w:p>
    <w:p w14:paraId="5E3DE119">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w:t>
      </w:r>
      <w:r>
        <w:rPr>
          <w:rFonts w:hint="eastAsia" w:ascii="仿宋" w:hAnsi="仿宋" w:eastAsia="仿宋" w:cs="仿宋"/>
          <w:spacing w:val="6"/>
          <w:sz w:val="24"/>
          <w:highlight w:val="none"/>
          <w:lang w:val="en-US" w:eastAsia="zh-CN"/>
        </w:rPr>
        <w:t>24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1</w:t>
      </w:r>
      <w:r>
        <w:rPr>
          <w:rFonts w:hint="default" w:ascii="仿宋" w:hAnsi="仿宋" w:eastAsia="仿宋" w:cs="仿宋"/>
          <w:spacing w:val="6"/>
          <w:sz w:val="24"/>
          <w:highlight w:val="none"/>
          <w:lang w:val="en-US" w:eastAsia="zh-CN"/>
        </w:rPr>
        <w:t>月至 20</w:t>
      </w:r>
      <w:r>
        <w:rPr>
          <w:rFonts w:hint="eastAsia" w:ascii="仿宋" w:hAnsi="仿宋" w:eastAsia="仿宋" w:cs="仿宋"/>
          <w:spacing w:val="6"/>
          <w:sz w:val="24"/>
          <w:highlight w:val="none"/>
          <w:lang w:val="en-US" w:eastAsia="zh-CN"/>
        </w:rPr>
        <w:t>24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月期间，在收集分析资料的基础上，标准起草小组内部多次就</w:t>
      </w:r>
      <w:r>
        <w:rPr>
          <w:rFonts w:hint="eastAsia" w:ascii="仿宋" w:hAnsi="仿宋" w:eastAsia="仿宋" w:cs="仿宋"/>
          <w:spacing w:val="6"/>
          <w:sz w:val="24"/>
          <w:highlight w:val="none"/>
        </w:rPr>
        <w:t>临床应用药物分析检测通用要求</w:t>
      </w:r>
      <w:r>
        <w:rPr>
          <w:rFonts w:hint="default" w:ascii="仿宋" w:hAnsi="仿宋" w:eastAsia="仿宋" w:cs="仿宋"/>
          <w:spacing w:val="6"/>
          <w:sz w:val="24"/>
          <w:highlight w:val="none"/>
          <w:lang w:val="en-US" w:eastAsia="zh-CN"/>
        </w:rPr>
        <w:t>以及标准编制的进展情况进行交流、讨论，并撰写形成标准草案。</w:t>
      </w:r>
    </w:p>
    <w:p w14:paraId="30C89452">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 xml:space="preserve"> 年</w:t>
      </w:r>
      <w:r>
        <w:rPr>
          <w:rFonts w:hint="eastAsia" w:ascii="仿宋" w:hAnsi="仿宋" w:eastAsia="仿宋" w:cs="仿宋"/>
          <w:spacing w:val="6"/>
          <w:sz w:val="24"/>
          <w:highlight w:val="none"/>
          <w:lang w:val="en-US" w:eastAsia="zh-CN"/>
        </w:rPr>
        <w:t>6</w:t>
      </w:r>
      <w:r>
        <w:rPr>
          <w:rFonts w:hint="default" w:ascii="仿宋" w:hAnsi="仿宋" w:eastAsia="仿宋" w:cs="仿宋"/>
          <w:spacing w:val="6"/>
          <w:sz w:val="24"/>
          <w:highlight w:val="none"/>
          <w:lang w:val="en-US" w:eastAsia="zh-CN"/>
        </w:rPr>
        <w:t>月9日，以主会场＋视频的形式召开临床应用药物分析检测通用要求专家咨询会，陕西省精神卫生中心（西安市精神卫生中心）、北京中日友好医院、西安交通大学第一附属医院、西安国际医学中心医院、中国医学科学院阜外医院、深圳华大基因股份有限公司等相关负责人、专家参加此次会议，就本标准进行交流、讨论。根据会议精神，对标准草案进行了修改完善。</w:t>
      </w:r>
    </w:p>
    <w:p w14:paraId="3B329D8A">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7</w:t>
      </w:r>
      <w:r>
        <w:rPr>
          <w:rFonts w:hint="default" w:ascii="仿宋" w:hAnsi="仿宋" w:eastAsia="仿宋" w:cs="仿宋"/>
          <w:spacing w:val="6"/>
          <w:sz w:val="24"/>
          <w:highlight w:val="none"/>
          <w:lang w:val="en-US" w:eastAsia="zh-CN"/>
        </w:rPr>
        <w:t>月，就修改后的标准草案以邮件形式进一步征求</w:t>
      </w:r>
      <w:r>
        <w:rPr>
          <w:rFonts w:hint="eastAsia" w:ascii="仿宋" w:hAnsi="仿宋" w:eastAsia="仿宋" w:cs="仿宋"/>
          <w:spacing w:val="6"/>
          <w:sz w:val="24"/>
          <w:highlight w:val="none"/>
          <w:lang w:val="en-US" w:eastAsia="zh-CN"/>
        </w:rPr>
        <w:t>中南大学</w:t>
      </w:r>
      <w:r>
        <w:rPr>
          <w:rFonts w:hint="default" w:ascii="仿宋" w:hAnsi="仿宋" w:eastAsia="仿宋" w:cs="仿宋"/>
          <w:spacing w:val="6"/>
          <w:sz w:val="24"/>
          <w:highlight w:val="none"/>
          <w:lang w:val="en-US" w:eastAsia="zh-CN"/>
        </w:rPr>
        <w:t>、</w:t>
      </w:r>
      <w:r>
        <w:rPr>
          <w:rFonts w:hint="eastAsia" w:ascii="仿宋" w:hAnsi="仿宋" w:eastAsia="仿宋" w:cs="仿宋"/>
          <w:spacing w:val="6"/>
          <w:sz w:val="24"/>
          <w:highlight w:val="none"/>
          <w:lang w:val="en-US" w:eastAsia="zh-CN"/>
        </w:rPr>
        <w:t>北京安定医院、上海精神卫生中心</w:t>
      </w:r>
      <w:r>
        <w:rPr>
          <w:rFonts w:hint="default" w:ascii="仿宋" w:hAnsi="仿宋" w:eastAsia="仿宋" w:cs="仿宋"/>
          <w:spacing w:val="6"/>
          <w:sz w:val="24"/>
          <w:highlight w:val="none"/>
          <w:lang w:val="en-US" w:eastAsia="zh-CN"/>
        </w:rPr>
        <w:t>等相关专家的意见。根据专家意见，对标准草案进行了修改完善。</w:t>
      </w:r>
    </w:p>
    <w:p w14:paraId="0D6CFFD3">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9</w:t>
      </w:r>
      <w:r>
        <w:rPr>
          <w:rFonts w:hint="default" w:ascii="仿宋" w:hAnsi="仿宋" w:eastAsia="仿宋" w:cs="仿宋"/>
          <w:spacing w:val="6"/>
          <w:sz w:val="24"/>
          <w:highlight w:val="none"/>
          <w:lang w:val="en-US" w:eastAsia="zh-CN"/>
        </w:rPr>
        <w:t>月，标准起草小组进一步</w:t>
      </w:r>
      <w:r>
        <w:rPr>
          <w:rFonts w:hint="eastAsia" w:ascii="仿宋" w:hAnsi="仿宋" w:eastAsia="仿宋" w:cs="仿宋"/>
          <w:spacing w:val="6"/>
          <w:sz w:val="24"/>
          <w:highlight w:val="none"/>
          <w:lang w:val="en-US" w:eastAsia="zh-CN"/>
        </w:rPr>
        <w:t>扩大</w:t>
      </w:r>
      <w:r>
        <w:rPr>
          <w:rFonts w:hint="default" w:ascii="仿宋" w:hAnsi="仿宋" w:eastAsia="仿宋" w:cs="仿宋"/>
          <w:spacing w:val="6"/>
          <w:sz w:val="24"/>
          <w:highlight w:val="none"/>
          <w:lang w:val="en-US" w:eastAsia="zh-CN"/>
        </w:rPr>
        <w:t>征求</w:t>
      </w:r>
      <w:r>
        <w:rPr>
          <w:rFonts w:hint="eastAsia" w:ascii="仿宋" w:hAnsi="仿宋" w:eastAsia="仿宋" w:cs="仿宋"/>
          <w:spacing w:val="6"/>
          <w:sz w:val="24"/>
          <w:highlight w:val="none"/>
          <w:lang w:val="en-US" w:eastAsia="zh-CN"/>
        </w:rPr>
        <w:t>范围，对北京中日友好医院、西安交通大学第一附属医院、北京大学第三医院、宁夏回族自治区宁安医院、岛津企业管理（中国）有限公司、西安国际医学中心医院、中国医学科学院阜外医院、上海市精神卫生中心、阿克苏地区第四人民医院（康宁医院）、陕西省药品和疫苗检查中心、新疆精神卫生中心（乌鲁木齐市第四人民医院）、内蒙古自治区精神卫生中心、宁波市医疗中心李惠利医院、绵阳市第三人民医院、厦门市仙岳医院、西安交通大学第二附属医院、内蒙古自治区人民医院、中国医学科学院北京协和医院、北京和睦家京北妇儿医院、西安大兴医院、西安市胸科医院、汉中市精神病医院、河北燕达陆道培医院、西安医学院第一附属医院、榆林市第五医院、深圳华大基因股份有限公司发函征集编制组</w:t>
      </w:r>
      <w:r>
        <w:rPr>
          <w:rFonts w:hint="default" w:ascii="仿宋" w:hAnsi="仿宋" w:eastAsia="仿宋" w:cs="仿宋"/>
          <w:spacing w:val="6"/>
          <w:sz w:val="24"/>
          <w:highlight w:val="none"/>
          <w:lang w:val="en-US" w:eastAsia="zh-CN"/>
        </w:rPr>
        <w:t>相关专家的意见，对标准草案进行了修改完善。</w:t>
      </w:r>
    </w:p>
    <w:p w14:paraId="054921A4">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11</w:t>
      </w:r>
      <w:r>
        <w:rPr>
          <w:rFonts w:hint="default" w:ascii="仿宋" w:hAnsi="仿宋" w:eastAsia="仿宋" w:cs="仿宋"/>
          <w:spacing w:val="6"/>
          <w:sz w:val="24"/>
          <w:highlight w:val="none"/>
          <w:lang w:val="en-US" w:eastAsia="zh-CN"/>
        </w:rPr>
        <w:t>月标准起草小组将征求意见稿上报</w:t>
      </w:r>
      <w:r>
        <w:rPr>
          <w:rFonts w:hint="eastAsia" w:ascii="仿宋" w:hAnsi="仿宋" w:eastAsia="仿宋" w:cs="仿宋"/>
          <w:spacing w:val="6"/>
          <w:sz w:val="24"/>
          <w:highlight w:val="none"/>
          <w:lang w:val="en-US" w:eastAsia="zh-CN"/>
        </w:rPr>
        <w:t>中国民族卫生协会</w:t>
      </w:r>
      <w:r>
        <w:rPr>
          <w:rFonts w:hint="default" w:ascii="仿宋" w:hAnsi="仿宋" w:eastAsia="仿宋" w:cs="仿宋"/>
          <w:spacing w:val="6"/>
          <w:sz w:val="24"/>
          <w:highlight w:val="none"/>
          <w:lang w:val="en-US" w:eastAsia="zh-CN"/>
        </w:rPr>
        <w:t>征求意见。</w:t>
      </w:r>
    </w:p>
    <w:p w14:paraId="1EBB6FA0">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4</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11</w:t>
      </w:r>
      <w:r>
        <w:rPr>
          <w:rFonts w:hint="default" w:ascii="仿宋" w:hAnsi="仿宋" w:eastAsia="仿宋" w:cs="仿宋"/>
          <w:spacing w:val="6"/>
          <w:sz w:val="24"/>
          <w:highlight w:val="none"/>
          <w:lang w:val="en-US" w:eastAsia="zh-CN"/>
        </w:rPr>
        <w:t>月标准起草小组针对反馈意见进行认真科学整理并对标准草案进行了修改完善，</w:t>
      </w:r>
      <w:r>
        <w:rPr>
          <w:rFonts w:hint="eastAsia" w:ascii="仿宋" w:hAnsi="仿宋" w:eastAsia="仿宋" w:cs="仿宋"/>
          <w:spacing w:val="6"/>
          <w:sz w:val="24"/>
          <w:highlight w:val="none"/>
          <w:lang w:val="en-US" w:eastAsia="zh-CN"/>
        </w:rPr>
        <w:t>12</w:t>
      </w:r>
      <w:r>
        <w:rPr>
          <w:rFonts w:hint="default" w:ascii="仿宋" w:hAnsi="仿宋" w:eastAsia="仿宋" w:cs="仿宋"/>
          <w:spacing w:val="6"/>
          <w:sz w:val="24"/>
          <w:highlight w:val="none"/>
          <w:lang w:val="en-US" w:eastAsia="zh-CN"/>
        </w:rPr>
        <w:t>月初与</w:t>
      </w:r>
      <w:r>
        <w:rPr>
          <w:rFonts w:hint="eastAsia" w:ascii="仿宋" w:hAnsi="仿宋" w:eastAsia="仿宋" w:cs="仿宋"/>
          <w:spacing w:val="6"/>
          <w:sz w:val="24"/>
          <w:highlight w:val="none"/>
          <w:lang w:val="en-US" w:eastAsia="zh-CN"/>
        </w:rPr>
        <w:t>中国民族卫生协会</w:t>
      </w:r>
      <w:r>
        <w:rPr>
          <w:rFonts w:hint="default" w:ascii="仿宋" w:hAnsi="仿宋" w:eastAsia="仿宋" w:cs="仿宋"/>
          <w:spacing w:val="6"/>
          <w:sz w:val="24"/>
          <w:highlight w:val="none"/>
          <w:lang w:val="en-US" w:eastAsia="zh-CN"/>
        </w:rPr>
        <w:t>对标准的修改进行了交流。经多次修改后形成了本标准的评审稿。</w:t>
      </w:r>
    </w:p>
    <w:p w14:paraId="21E2F777">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5</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1</w:t>
      </w:r>
      <w:r>
        <w:rPr>
          <w:rFonts w:hint="default" w:ascii="仿宋" w:hAnsi="仿宋" w:eastAsia="仿宋" w:cs="仿宋"/>
          <w:spacing w:val="6"/>
          <w:sz w:val="24"/>
          <w:highlight w:val="none"/>
          <w:lang w:val="en-US" w:eastAsia="zh-CN"/>
        </w:rPr>
        <w:t>月</w:t>
      </w:r>
      <w:r>
        <w:rPr>
          <w:rFonts w:hint="eastAsia" w:ascii="仿宋" w:hAnsi="仿宋" w:eastAsia="仿宋" w:cs="仿宋"/>
          <w:spacing w:val="6"/>
          <w:sz w:val="24"/>
          <w:highlight w:val="none"/>
          <w:lang w:val="en-US" w:eastAsia="zh-CN"/>
        </w:rPr>
        <w:t>15</w:t>
      </w:r>
      <w:r>
        <w:rPr>
          <w:rFonts w:hint="default" w:ascii="仿宋" w:hAnsi="仿宋" w:eastAsia="仿宋" w:cs="仿宋"/>
          <w:spacing w:val="6"/>
          <w:sz w:val="24"/>
          <w:highlight w:val="none"/>
          <w:lang w:val="en-US" w:eastAsia="zh-CN"/>
        </w:rPr>
        <w:t>日在</w:t>
      </w:r>
      <w:r>
        <w:rPr>
          <w:rFonts w:hint="eastAsia" w:ascii="仿宋" w:hAnsi="仿宋" w:eastAsia="仿宋" w:cs="仿宋"/>
          <w:spacing w:val="6"/>
          <w:sz w:val="24"/>
          <w:highlight w:val="none"/>
          <w:lang w:val="en-US" w:eastAsia="zh-CN"/>
        </w:rPr>
        <w:t>中国民族卫生协会</w:t>
      </w:r>
      <w:r>
        <w:rPr>
          <w:rFonts w:hint="default" w:ascii="仿宋" w:hAnsi="仿宋" w:eastAsia="仿宋" w:cs="仿宋"/>
          <w:spacing w:val="6"/>
          <w:sz w:val="24"/>
          <w:highlight w:val="none"/>
          <w:lang w:val="en-US" w:eastAsia="zh-CN"/>
        </w:rPr>
        <w:t>标委会</w:t>
      </w:r>
      <w:r>
        <w:rPr>
          <w:rFonts w:hint="eastAsia" w:ascii="仿宋" w:hAnsi="仿宋" w:eastAsia="仿宋" w:cs="仿宋"/>
          <w:spacing w:val="6"/>
          <w:sz w:val="24"/>
          <w:highlight w:val="none"/>
          <w:lang w:val="en-US" w:eastAsia="zh-CN"/>
        </w:rPr>
        <w:t>组织下</w:t>
      </w:r>
      <w:r>
        <w:rPr>
          <w:rFonts w:hint="default" w:ascii="仿宋" w:hAnsi="仿宋" w:eastAsia="仿宋" w:cs="仿宋"/>
          <w:spacing w:val="6"/>
          <w:sz w:val="24"/>
          <w:highlight w:val="none"/>
          <w:lang w:val="en-US" w:eastAsia="zh-CN"/>
        </w:rPr>
        <w:t>召开专家审查会</w:t>
      </w:r>
      <w:r>
        <w:rPr>
          <w:rFonts w:hint="eastAsia" w:ascii="仿宋" w:hAnsi="仿宋" w:eastAsia="仿宋" w:cs="仿宋"/>
          <w:spacing w:val="6"/>
          <w:sz w:val="24"/>
          <w:highlight w:val="none"/>
          <w:lang w:val="en-US" w:eastAsia="zh-CN"/>
        </w:rPr>
        <w:t>，</w:t>
      </w:r>
      <w:r>
        <w:rPr>
          <w:rFonts w:hint="default" w:ascii="仿宋" w:hAnsi="仿宋" w:eastAsia="仿宋" w:cs="仿宋"/>
          <w:spacing w:val="6"/>
          <w:sz w:val="24"/>
          <w:highlight w:val="none"/>
          <w:lang w:val="en-US" w:eastAsia="zh-CN"/>
        </w:rPr>
        <w:t>与会专家审查了文本及相关材料，经质询与讨论，提出了修改意见，建议尽快修改完善并尽快上报。</w:t>
      </w:r>
    </w:p>
    <w:p w14:paraId="30178D26">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5</w:t>
      </w:r>
      <w:r>
        <w:rPr>
          <w:rFonts w:hint="default" w:ascii="仿宋" w:hAnsi="仿宋" w:eastAsia="仿宋" w:cs="仿宋"/>
          <w:spacing w:val="6"/>
          <w:sz w:val="24"/>
          <w:highlight w:val="none"/>
          <w:lang w:val="en-US" w:eastAsia="zh-CN"/>
        </w:rPr>
        <w:t xml:space="preserve"> 年</w:t>
      </w:r>
      <w:r>
        <w:rPr>
          <w:rFonts w:hint="eastAsia" w:ascii="仿宋" w:hAnsi="仿宋" w:eastAsia="仿宋" w:cs="仿宋"/>
          <w:spacing w:val="6"/>
          <w:sz w:val="24"/>
          <w:highlight w:val="none"/>
          <w:lang w:val="en-US" w:eastAsia="zh-CN"/>
        </w:rPr>
        <w:t>1</w:t>
      </w:r>
      <w:r>
        <w:rPr>
          <w:rFonts w:hint="default" w:ascii="仿宋" w:hAnsi="仿宋" w:eastAsia="仿宋" w:cs="仿宋"/>
          <w:spacing w:val="6"/>
          <w:sz w:val="24"/>
          <w:highlight w:val="none"/>
          <w:lang w:val="en-US" w:eastAsia="zh-CN"/>
        </w:rPr>
        <w:t>月</w:t>
      </w:r>
      <w:r>
        <w:rPr>
          <w:rFonts w:hint="eastAsia" w:ascii="仿宋" w:hAnsi="仿宋" w:eastAsia="仿宋" w:cs="仿宋"/>
          <w:spacing w:val="6"/>
          <w:sz w:val="24"/>
          <w:highlight w:val="none"/>
          <w:lang w:val="en-US" w:eastAsia="zh-CN"/>
        </w:rPr>
        <w:t>16</w:t>
      </w:r>
      <w:r>
        <w:rPr>
          <w:rFonts w:hint="default" w:ascii="仿宋" w:hAnsi="仿宋" w:eastAsia="仿宋" w:cs="仿宋"/>
          <w:spacing w:val="6"/>
          <w:sz w:val="24"/>
          <w:highlight w:val="none"/>
          <w:lang w:val="en-US" w:eastAsia="zh-CN"/>
        </w:rPr>
        <w:t>日经审查评定</w:t>
      </w:r>
      <w:r>
        <w:rPr>
          <w:rFonts w:hint="eastAsia" w:ascii="仿宋" w:hAnsi="仿宋" w:eastAsia="仿宋" w:cs="仿宋"/>
          <w:spacing w:val="6"/>
          <w:sz w:val="24"/>
          <w:highlight w:val="none"/>
          <w:lang w:val="en-US" w:eastAsia="zh-CN"/>
        </w:rPr>
        <w:t>中国民族卫生协会</w:t>
      </w:r>
      <w:r>
        <w:rPr>
          <w:rFonts w:hint="default" w:ascii="仿宋" w:hAnsi="仿宋" w:eastAsia="仿宋" w:cs="仿宋"/>
          <w:spacing w:val="6"/>
          <w:sz w:val="24"/>
          <w:highlight w:val="none"/>
          <w:lang w:val="en-US" w:eastAsia="zh-CN"/>
        </w:rPr>
        <w:t>下达该标准项目立项书。</w:t>
      </w:r>
    </w:p>
    <w:p w14:paraId="61A4786E">
      <w:pPr>
        <w:numPr>
          <w:ilvl w:val="0"/>
          <w:numId w:val="0"/>
        </w:numPr>
        <w:spacing w:line="300" w:lineRule="auto"/>
        <w:ind w:firstLine="504" w:firstLineChars="200"/>
        <w:jc w:val="both"/>
        <w:rPr>
          <w:rFonts w:hint="default" w:ascii="仿宋" w:hAnsi="仿宋" w:eastAsia="仿宋" w:cs="仿宋"/>
          <w:spacing w:val="6"/>
          <w:sz w:val="24"/>
          <w:highlight w:val="none"/>
          <w:lang w:val="en-US" w:eastAsia="zh-CN"/>
        </w:rPr>
      </w:pPr>
      <w:r>
        <w:rPr>
          <w:rFonts w:hint="default" w:ascii="仿宋" w:hAnsi="仿宋" w:eastAsia="仿宋" w:cs="仿宋"/>
          <w:spacing w:val="6"/>
          <w:sz w:val="24"/>
          <w:highlight w:val="none"/>
          <w:lang w:val="en-US" w:eastAsia="zh-CN"/>
        </w:rPr>
        <w:t>202</w:t>
      </w:r>
      <w:r>
        <w:rPr>
          <w:rFonts w:hint="eastAsia" w:ascii="仿宋" w:hAnsi="仿宋" w:eastAsia="仿宋" w:cs="仿宋"/>
          <w:spacing w:val="6"/>
          <w:sz w:val="24"/>
          <w:highlight w:val="none"/>
          <w:lang w:val="en-US" w:eastAsia="zh-CN"/>
        </w:rPr>
        <w:t>5</w:t>
      </w:r>
      <w:r>
        <w:rPr>
          <w:rFonts w:hint="default" w:ascii="仿宋" w:hAnsi="仿宋" w:eastAsia="仿宋" w:cs="仿宋"/>
          <w:spacing w:val="6"/>
          <w:sz w:val="24"/>
          <w:highlight w:val="none"/>
          <w:lang w:val="en-US" w:eastAsia="zh-CN"/>
        </w:rPr>
        <w:t>年</w:t>
      </w:r>
      <w:r>
        <w:rPr>
          <w:rFonts w:hint="eastAsia" w:ascii="仿宋" w:hAnsi="仿宋" w:eastAsia="仿宋" w:cs="仿宋"/>
          <w:spacing w:val="6"/>
          <w:sz w:val="24"/>
          <w:highlight w:val="none"/>
          <w:lang w:val="en-US" w:eastAsia="zh-CN"/>
        </w:rPr>
        <w:t>1</w:t>
      </w:r>
      <w:r>
        <w:rPr>
          <w:rFonts w:hint="default" w:ascii="仿宋" w:hAnsi="仿宋" w:eastAsia="仿宋" w:cs="仿宋"/>
          <w:spacing w:val="6"/>
          <w:sz w:val="24"/>
          <w:highlight w:val="none"/>
          <w:lang w:val="en-US" w:eastAsia="zh-CN"/>
        </w:rPr>
        <w:t>月</w:t>
      </w:r>
      <w:r>
        <w:rPr>
          <w:rFonts w:hint="eastAsia" w:ascii="仿宋" w:hAnsi="仿宋" w:eastAsia="仿宋" w:cs="仿宋"/>
          <w:spacing w:val="6"/>
          <w:sz w:val="24"/>
          <w:highlight w:val="none"/>
          <w:lang w:val="en-US" w:eastAsia="zh-CN"/>
        </w:rPr>
        <w:t>17</w:t>
      </w:r>
      <w:r>
        <w:rPr>
          <w:rFonts w:hint="default" w:ascii="仿宋" w:hAnsi="仿宋" w:eastAsia="仿宋" w:cs="仿宋"/>
          <w:spacing w:val="6"/>
          <w:sz w:val="24"/>
          <w:highlight w:val="none"/>
          <w:lang w:val="en-US" w:eastAsia="zh-CN"/>
        </w:rPr>
        <w:t>日</w:t>
      </w:r>
      <w:r>
        <w:rPr>
          <w:rFonts w:hint="eastAsia" w:ascii="仿宋" w:hAnsi="仿宋" w:eastAsia="仿宋" w:cs="仿宋"/>
          <w:spacing w:val="6"/>
          <w:sz w:val="24"/>
          <w:highlight w:val="none"/>
          <w:lang w:val="en-US" w:eastAsia="zh-CN"/>
        </w:rPr>
        <w:t>陕西省精神卫生中心（西安市精神卫生中心）</w:t>
      </w:r>
      <w:r>
        <w:rPr>
          <w:rFonts w:hint="default" w:ascii="仿宋" w:hAnsi="仿宋" w:eastAsia="仿宋" w:cs="仿宋"/>
          <w:spacing w:val="6"/>
          <w:sz w:val="24"/>
          <w:highlight w:val="none"/>
          <w:lang w:val="en-US" w:eastAsia="zh-CN"/>
        </w:rPr>
        <w:t>按照各工作环节时间进度开展标准研制工作。</w:t>
      </w:r>
    </w:p>
    <w:p w14:paraId="1572F2A2">
      <w:pPr>
        <w:spacing w:line="300" w:lineRule="auto"/>
        <w:rPr>
          <w:rFonts w:hint="eastAsia" w:ascii="仿宋" w:hAnsi="仿宋" w:eastAsia="仿宋" w:cs="仿宋"/>
          <w:b/>
          <w:sz w:val="24"/>
        </w:rPr>
      </w:pPr>
    </w:p>
    <w:p w14:paraId="0B95BBB1">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讲清标准的编制过程，明确意见已获得充分沟通，</w:t>
      </w:r>
      <w:r>
        <w:rPr>
          <w:rFonts w:hint="eastAsia" w:ascii="仿宋" w:hAnsi="仿宋" w:eastAsia="仿宋" w:cs="仿宋"/>
          <w:spacing w:val="6"/>
          <w:sz w:val="24"/>
          <w:highlight w:val="lightGray"/>
        </w:rPr>
        <w:t>包括但不限于编制过程信息；各阶段主要争议问题的处理情况，征求意见或审查意见的处理情况；送审稿编写情况、审查后标准内容修改情况等）</w:t>
      </w:r>
    </w:p>
    <w:p w14:paraId="4DF81577">
      <w:pPr>
        <w:spacing w:line="300" w:lineRule="auto"/>
        <w:rPr>
          <w:rFonts w:ascii="仿宋" w:hAnsi="仿宋" w:eastAsia="仿宋" w:cs="仿宋"/>
          <w:sz w:val="24"/>
        </w:rPr>
      </w:pPr>
    </w:p>
    <w:p w14:paraId="0FC0FEFC">
      <w:pPr>
        <w:spacing w:line="300" w:lineRule="auto"/>
        <w:rPr>
          <w:rFonts w:hint="eastAsia" w:ascii="仿宋" w:hAnsi="仿宋" w:eastAsia="仿宋" w:cs="仿宋"/>
          <w:b/>
          <w:sz w:val="24"/>
        </w:rPr>
      </w:pPr>
      <w:r>
        <w:rPr>
          <w:rFonts w:hint="eastAsia" w:ascii="仿宋" w:hAnsi="仿宋" w:eastAsia="仿宋" w:cs="仿宋"/>
          <w:b/>
          <w:sz w:val="24"/>
        </w:rPr>
        <w:t>4  标准编制原则及与国家法律法规和强制性标准及有关标准的关系</w:t>
      </w:r>
    </w:p>
    <w:p w14:paraId="49DDF0A8">
      <w:pPr>
        <w:numPr>
          <w:ilvl w:val="0"/>
          <w:numId w:val="0"/>
        </w:numPr>
        <w:spacing w:line="300" w:lineRule="auto"/>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4.1标准编制原则</w:t>
      </w:r>
    </w:p>
    <w:p w14:paraId="3EF59C9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 统一性原则</w:t>
      </w:r>
    </w:p>
    <w:p w14:paraId="3EB814D2">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参考《中国药典》将共性技术要求整合的经验，确保临床药物分析检测标准在术语、工作流程、岗位要求等方面实现统一 。如在质量管理的校准制度、临床检测、数据报告、质控等方面，采用统一规范，便于不同实验室间数据的互认与交流，避免因标准差异导致的检测结果不一致。</w:t>
      </w:r>
    </w:p>
    <w:p w14:paraId="12ADC32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 协调性原则</w:t>
      </w:r>
    </w:p>
    <w:p w14:paraId="7CF44D9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编制过程充分考虑与《中华人民共和国药品管理法》《药物临床试验质量管理规范》（GCP）等法律法规的协调，同时注重与国际标准（如ICH指导原则、国外药典）的衔接。例如《中国药典》2020年版在修订时，就积极借鉴ICH内容，保证国内标准与国际先进理念和技术要求相协调，促进药物分析检测的国际化发展。</w:t>
      </w:r>
    </w:p>
    <w:p w14:paraId="26DDEFA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 适用性原则</w:t>
      </w:r>
    </w:p>
    <w:p w14:paraId="20AFAC4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立足我国医药产业发展阶段和临床实际需求，制定符合国情的检测标准。根据不同药物剂型（如注射剂、吸入制剂）的特点，明确其特殊检测要求，像《中国药典》2020年版针对注射剂配制后的质控、吸入制剂递送剂量标示等作出规定，确保标准能有效指导临床用药和质量控制。</w:t>
      </w:r>
    </w:p>
    <w:p w14:paraId="60D41B5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 一致性原则</w:t>
      </w:r>
    </w:p>
    <w:p w14:paraId="21DBCCC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保证标准在不同环节（医疗机构中检测、送样临床外检测、新药临床试验）的一致性要求，避免出现矛盾和冲突。</w:t>
      </w:r>
    </w:p>
    <w:p w14:paraId="58E37B06">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（5）. 规范性原则</w:t>
      </w:r>
    </w:p>
    <w:p w14:paraId="5A3BF2A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按照国家药品监督管理部门颁布的法律、规范和指导原则要求，规范标准的体例格式、文字术语、检测流程等内容。例如在药品质量标准起草说明中，明确规定需包含概况、生产工艺、质量标准制定意见等内容，并规范其表述方式，使标准具有严谨性和权威性。</w:t>
      </w:r>
    </w:p>
    <w:p w14:paraId="0D17D74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（6）. 目标性原则</w:t>
      </w:r>
    </w:p>
    <w:p w14:paraId="2B6996E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以保障药品安全、有效和质量可控为核心目标，围绕临床用药需求制定标准。通过设置科学的检测项目（如有效性、均一性、纯度、安全性检查）和合理的限度要求，为临床合理用药提供准确依据，如通过规定药品的溶出度、含量均匀度等指标，确保药物临床疗效的稳定性。</w:t>
      </w:r>
    </w:p>
    <w:p w14:paraId="63C3DC1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（7）. 目的性原则</w:t>
      </w:r>
    </w:p>
    <w:p w14:paraId="2EFA5AD2">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技术要素的确定需紧密围绕药物分析检测的目的，即准确评估药物质量、保障临床用药安全有效。例如在选择鉴别方法时，需考虑该方法能否准确判断药物真伪，像维生素B1采用硫色素反应作为专属鉴别试验，正是基于其能特异性识别该药物的目的；在确定杂质检查项目时，优先选择危害健康和影响药物质量的杂质进行检测，以确保用药安全。</w:t>
      </w:r>
    </w:p>
    <w:p w14:paraId="5717F14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（8）. 性能特性原则</w:t>
      </w:r>
    </w:p>
    <w:p w14:paraId="5516367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依据药物的性能特性（如化学结构、理化性质、生物活性等）选择合适的技术要素。对于具有光学异构体的药物，利用其旋光性能差异（比旋度）进行质量控制；对于含量测定方法的选择，化学原料药首选容量分析法（因其准确度高），制剂首选色谱法（可有效分离复杂成分），酶类药物首选酶法，以保证检测方法能准确反映药物的性能特性。</w:t>
      </w:r>
    </w:p>
    <w:p w14:paraId="72EDB9D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（9）. 可证实性原则</w:t>
      </w:r>
    </w:p>
    <w:p w14:paraId="5F18615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所有技术要素需具备可证实性，即检测方法、限度要求等能够通过实验验证其科学性和可靠性 。在方法验证中，需对准确度、精密度、专属性、检测限、定量限、线性、范围和耐用性等关键参数进行严格验证，如通过重复性试验计算相对标准差（RSD）来考察精密度，确保检测结果稳定可靠，使标准中的技术要素经得起实践检验。</w:t>
      </w:r>
    </w:p>
    <w:p w14:paraId="4AF4A3EA">
      <w:pPr>
        <w:spacing w:line="300" w:lineRule="auto"/>
        <w:rPr>
          <w:rFonts w:hint="default" w:ascii="仿宋" w:hAnsi="仿宋" w:eastAsia="仿宋" w:cs="仿宋"/>
          <w:spacing w:val="6"/>
          <w:sz w:val="24"/>
          <w:lang w:val="en-US" w:eastAsia="zh-CN"/>
        </w:rPr>
      </w:pPr>
    </w:p>
    <w:p w14:paraId="53F5F2F4">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（4.1 建议从统一性、协调性、适用性、一致性、规范性、目标性等方面写编制原则；</w:t>
      </w:r>
    </w:p>
    <w:p w14:paraId="3596530F">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建议从目的性原则、性能特性原则、可证实性原则的角度写确定技术要素的原则。</w:t>
      </w:r>
    </w:p>
    <w:p w14:paraId="037824D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4.2 本标准与涉及到的法律法规、强制性标准的关系</w:t>
      </w:r>
    </w:p>
    <w:p w14:paraId="5D0F093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本标准在编制和实施过程中，与多项法律法规、强制性标准紧密关联，形成科学严谨的监管与技术支撑体系：</w:t>
      </w:r>
    </w:p>
    <w:p w14:paraId="6B348EF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 法律层面的核心依据：以《中华人民共和国药品管理法》为根本遵循，明确药物分析检测在药品全生命周期管理中的法定地位，确保标准编制符合药品安全、有效、质量可控的总体要求。《药品经营和使用质量监督管理办法》则规范了临床药物使用环节的质量管理，使检测标准与药品经营、调配、使用等流程相衔接，保障临床检测结果的应用合规性。</w:t>
      </w:r>
    </w:p>
    <w:p w14:paraId="1E697324">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 标准管理与协调机制：遵循《国家标准管理办法》，在标准立项、起草、审查及发布流程中，严格执行国家标准制定的通用规范，确保标准编制的科学性、规范性和时效性。同时，积极采用国际标准并推动国内外标准协调，提升标准的国际兼容性 。在医药行业标准化领域，《医药标准化管理办法》明确了医药产品标准的制定原则和范围，为临床药物分析检测标准与医药行业其他标准的协同提供了指导。</w:t>
      </w:r>
    </w:p>
    <w:p w14:paraId="74A783C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 技术规范的强制约束：《中国药典》作为国家药品标准的核心，为临床药物分析检测提供了具体技术准则。无论是检测方法（如色谱法、光谱法）、质量控制指标（如杂质限度、含量测定），还是通用技术要求（如分析方法验证、系统适用性试验），均以药典规定为基础，并结合临床应用需求细化标准。涉及计量器具使用时，严格遵循《计量法》中关于强制检定与非强制检定的规定，确保检测仪器的准确性和可靠性。</w:t>
      </w:r>
    </w:p>
    <w:p w14:paraId="7BC0351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 研发与临床实践的规范衔接：《药物临床试验质量管理规范》（GCP）、《药品注册管理办法》等法规，对药物临床研究和注册申报中的检测数据提出规范性要求，确保临床检测标准与新药研发、上市流程相匹配。在分析方法管理方面，明确药典方法的优先使用原则，若采用非药典方法需进行严格验证和比对 ，与《药品标准管理办法》中关于标准执行和方法变更的要求一致，保障检测结果的权威性和一致性。</w:t>
      </w:r>
    </w:p>
    <w:p w14:paraId="46A5BB6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p>
    <w:p w14:paraId="17B390C1">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通过与上述法律法规、强制性标准的紧密衔接，《临床应用药物分析检测通用要求》得以在合法合规的框架下，实现技术要求的科学性、实践应用的适用性以及行业监管的协同性，全面提升临床药物分析检测的标准化水平。</w:t>
      </w:r>
    </w:p>
    <w:p w14:paraId="02BCA824">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p>
    <w:p w14:paraId="0054292C">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4.2 写出本标准与标准编制和实施过程涉及到的法律法规、强制性标准的关系。</w:t>
      </w:r>
    </w:p>
    <w:p w14:paraId="00FBC8C5">
      <w:pPr>
        <w:spacing w:line="300" w:lineRule="auto"/>
        <w:rPr>
          <w:rFonts w:hint="eastAsia" w:ascii="仿宋" w:hAnsi="仿宋" w:eastAsia="仿宋" w:cs="仿宋"/>
          <w:spacing w:val="6"/>
          <w:sz w:val="24"/>
          <w:highlight w:val="lightGray"/>
        </w:rPr>
      </w:pPr>
    </w:p>
    <w:p w14:paraId="640C1F74">
      <w:pPr>
        <w:numPr>
          <w:ilvl w:val="0"/>
          <w:numId w:val="0"/>
        </w:numPr>
        <w:spacing w:line="300" w:lineRule="auto"/>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4.3 本标准与上位标准或其他相关标准相比较，主要技术指标的不同点</w:t>
      </w:r>
    </w:p>
    <w:p w14:paraId="51D08C7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本标准在主要技术指标上呈现出填补空白、细化补充及性能提升等显著特点，具体如下：</w:t>
      </w:r>
    </w:p>
    <w:p w14:paraId="11FC401C">
      <w:pPr>
        <w:numPr>
          <w:ilvl w:val="0"/>
          <w:numId w:val="0"/>
        </w:numPr>
        <w:tabs>
          <w:tab w:val="left" w:pos="811"/>
        </w:tabs>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(1).填补行业标准空白</w:t>
      </w:r>
    </w:p>
    <w:p w14:paraId="7183410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针对液相色谱 - 质谱联用技术在临床检验领域应用广泛但缺乏统一标准的问题，《临床应用药物分析检测通用要求标准》参考T/CAS 678-2023、T/CAS 859-2024等团体标准，对实验基本要求、方法学验证等内容进行系统规范。同时，借鉴2023年发布的《液相色谱 - 质谱法测定试剂盒通用要求》，明确液相色谱 - 质谱法检测试剂盒在临床药物分析中的应用标准，填补该领域行业标准的空缺，解决技术人员要求高、前处理繁琐、室间差异大等问题，为试剂盒研发、注册和临床应用提供统一准则。</w:t>
      </w:r>
    </w:p>
    <w:p w14:paraId="63FD5D4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(2).细化现有标准要求</w:t>
      </w:r>
    </w:p>
    <w:p w14:paraId="13075E0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在制剂检测方面，《临床应用药物分析检测通用要求标准》以《中国药典》2020年版、2025年版为基础，进一步系统适用性试验质量控制要点。除遵循《中国药典》2025年版通则9101等规定的准确性、精密度等验证项目外，针对临床复杂样本特点，细化生物样本中内源性物质干扰、基质效应等特殊情况的处理流程和验证标准。</w:t>
      </w:r>
    </w:p>
    <w:p w14:paraId="4CFF40E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(3).提升检测技术指标</w:t>
      </w:r>
    </w:p>
    <w:p w14:paraId="5CCE9831">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对标2025版《中国药典》引入的核磁共振（NMR）、质谱技术等国际领先检测手段，《临床应用药物分析检测通用要求标准》进一步提升临床检测的灵敏度和特异性。在未知使用药物需进行结构鉴定方面，采用LC - MS/MS技术，使灵敏度达到0.05% 。此外，标准还对智能化检测提出要求，借鉴实验室信息化管理系统（LIMS）在新版药典中的应用，要求临床检测数据完整性误差率≤0.1%，并引入人工智能辅助系统，实现检测数据的自动分析和解读，提高检测效率和准确性。</w:t>
      </w:r>
    </w:p>
    <w:p w14:paraId="1651117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(4).强化临床应用导向</w:t>
      </w:r>
    </w:p>
    <w:p w14:paraId="6682F5A2">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与侧重药品生产和质量控制的《药品生产质量管理规范》（GMP）、《药品经营质量管理规范》（GSP）不同，本标准聚焦临床应用场景，重点规范药物在人体样本检测中的关键技术指标。例如，结合临床治疗药物监测需求，制定样本采集、处理、保存的全流程规范，明确溶血、污染等因素对检测结果的影响及处理措施；基于药物浓度与疗效、毒性的关系，制定个体化的有效浓度范围和毒性阈值判定标准，并引入药物基因组学检测指标，为临床精准用药提供依据。在质控管理方面，除室内质控和室间比对要求外，增加临床检测结果与用药方案关联性的评估标准，确保检测结果能切实指导临床决策。</w:t>
      </w:r>
    </w:p>
    <w:p w14:paraId="31613BDF">
      <w:pPr>
        <w:spacing w:line="300" w:lineRule="auto"/>
        <w:rPr>
          <w:rFonts w:hint="eastAsia" w:ascii="仿宋" w:hAnsi="仿宋" w:eastAsia="仿宋" w:cs="仿宋"/>
          <w:spacing w:val="6"/>
          <w:sz w:val="24"/>
          <w:highlight w:val="lightGray"/>
        </w:rPr>
      </w:pPr>
    </w:p>
    <w:p w14:paraId="7A336656">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4.3 写出本标准与上位标准或其他相关标准相比较，主要技术指标的不同点，如：填补空白、在某标准的基础上细化、提升等。）</w:t>
      </w:r>
    </w:p>
    <w:p w14:paraId="65EF49EF">
      <w:pPr>
        <w:spacing w:line="300" w:lineRule="auto"/>
        <w:rPr>
          <w:rFonts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736D1ED5">
      <w:pPr>
        <w:spacing w:line="300" w:lineRule="auto"/>
        <w:rPr>
          <w:rFonts w:hint="eastAsia" w:ascii="仿宋" w:hAnsi="仿宋" w:eastAsia="仿宋" w:cs="仿宋"/>
          <w:b/>
          <w:sz w:val="24"/>
        </w:rPr>
      </w:pPr>
      <w:r>
        <w:rPr>
          <w:rFonts w:hint="eastAsia" w:ascii="仿宋" w:hAnsi="仿宋" w:eastAsia="仿宋" w:cs="仿宋"/>
          <w:b/>
          <w:sz w:val="24"/>
        </w:rPr>
        <w:t>5.1  标准主要技术内容的论据或依据</w:t>
      </w:r>
    </w:p>
    <w:p w14:paraId="505A7EE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（1）理论依据</w:t>
      </w:r>
    </w:p>
    <w:p w14:paraId="08FC6CC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分析技术理论革新：采用色谱 - 质谱联用技术（LC - MS/MS）、免疫学检测技术、分子生物学技术等作为核心检测手段，源于其先进的检测原理。LC - MS/MS结合了色谱的分离能力和质谱的定性、定量能力 ，依据质谱对化合物离子化后的质荷比检测原理，能够实现对挥发性药物及其代谢产物（如麻醉药、有机溶剂）的高灵敏度、高特异性检测；免疫学检测技术基于抗原 - 抗体特异性结合反应，像酶联免疫吸附试验（ELISA）通过酶标记抗体或抗原，实现药物快速定量检测。这些新技术为临床药物分析提供了更精准的理论支撑。</w:t>
      </w:r>
    </w:p>
    <w:p w14:paraId="3236B99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个体化用药理论：基于基因型与药物代谢、药物敏感性评估等理论，通过检测患者的药物代谢酶基因型（如CYP2D610、CYP2C93等）、药物靶点基因型，能够预测药物代谢速度和敏感性。以心脑血管疾病治疗为例，高血压用药基因检测可指导β - 受体阻滞剂、血管紧张素II受体拮抗剂等五大类药物的合理使用 ，这种个体化用药理论是制定治疗剂量动态调整、药物剂量个体化等技术内容的核心依据。</w:t>
      </w:r>
    </w:p>
    <w:p w14:paraId="1F8E297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（2）试验依据</w:t>
      </w:r>
    </w:p>
    <w:p w14:paraId="7D5E415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分析方法验证试验：依据《中国药典》2020年版通则9101、USP《美国药典》1125及ICHQ2A的要求，对分析方法的准确性、精密度、重复性、中间精密度、专属性、检测限度、定量限度、线性、范围等项目进行全面验证 。通过多次重复试验，确定方法的可靠性，例如在某药物含量测定方法验证中，重复性试验相对标准差（RSD）控制在2%以内，确保检测结果稳定、准确。</w:t>
      </w:r>
    </w:p>
    <w:p w14:paraId="1968271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临床样本检测试验：在不同临床场景下，对血液、尿液等生物样本进行检测试验，验证样本处理规范的有效性。通过采集大量患者样本，研究溶血、污染、饮食因素等对检测结果的影响，确定血样采集使用无菌真空采血管、采集后储存于2 - 8℃冰箱等具体要求，保障样本质量和检测结果的准确性。</w:t>
      </w:r>
    </w:p>
    <w:p w14:paraId="22E1A7B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（3）数据依据</w:t>
      </w:r>
    </w:p>
    <w:p w14:paraId="41CBBF0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多中心临床数据统计：整合大量临床研究数据，分析药物有效浓度范围、毒性药物浓度阈值及治疗窗浓度判定标准。通过对不同年龄、性别、肝肾功能患者的药物浓度数据进行统计，建立具有普适性的浓度参考范围。例如，在某抗精神障碍药物临床研究中，基于数千例患者的血药浓度数据，确定其有效治疗浓度范围为100 - 500μg/mL，为临床用药监测提供量化依据。</w:t>
      </w:r>
    </w:p>
    <w:p w14:paraId="2301B67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质控数据分析：通过室内质控和室间比对的大量数据积累，评估检测系统的稳定性和准确性。室内质控中，对不同浓度质控品的检测数据进行统计分析，计算均值、标准差等指标；室间比对则通过与其他实验室检测结果对比，分析不同检测系统或方法之间的偏倚和一致性 ，从而优化检测流程和质量控制标准。</w:t>
      </w:r>
    </w:p>
    <w:p w14:paraId="37DE21A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（4）实践依据</w:t>
      </w:r>
    </w:p>
    <w:p w14:paraId="1DE76B4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药物临床试验经验：在药物临床试验过程中，积累了样本采集、处理、检测及数据管理的实践经验。依据《药物临床试验质量管理规范》（GCP），对受试者样本进行规范管理，确保检测结果可用于药物安全性和有效性评估。例如，在新药研发临床试验中，严格遵循样本处理标准化流程（分离血清或血浆、样本稀释、样本标记等），保障数据质量，为药物注册提供可靠依据。</w:t>
      </w:r>
    </w:p>
    <w:p w14:paraId="0537117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临床治疗药物监测实践：在长期临床治疗药物浓度监测（TDM）中，针对长期服药、合并多种用药、肝肾功能不全等特殊人群，通过监测血药浓度调整用药方案，积累了丰富的实践经验。采用串联质谱法作为血药浓度监测的金标准，在实际应用中不断优化检测流程，验证了该方法在临床精准用药中的有效性和可靠性。</w:t>
      </w:r>
    </w:p>
    <w:p w14:paraId="716C303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p>
    <w:p w14:paraId="7CE89F64">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（论据如技术指标、参数、公式、性能要求、实验方法、检验规则等；依据包括试验、统计数据。</w:t>
      </w:r>
    </w:p>
    <w:p w14:paraId="3C442F30">
      <w:pPr>
        <w:spacing w:line="360" w:lineRule="auto"/>
        <w:ind w:firstLine="480" w:firstLineChars="200"/>
        <w:rPr>
          <w:rFonts w:ascii="仿宋" w:hAnsi="仿宋" w:eastAsia="仿宋" w:cs="仿宋"/>
          <w:spacing w:val="6"/>
          <w:sz w:val="24"/>
          <w:highlight w:val="lightGray"/>
        </w:rPr>
      </w:pPr>
      <w:r>
        <w:rPr>
          <w:rFonts w:hint="eastAsia" w:ascii="仿宋" w:hAnsi="仿宋" w:eastAsia="仿宋" w:cs="仿宋"/>
          <w:sz w:val="24"/>
          <w:highlight w:val="lightGray"/>
        </w:rPr>
        <w:t>说明标准的技术思路，明确主要技术内容及其确定依据，</w:t>
      </w:r>
      <w:r>
        <w:rPr>
          <w:rFonts w:hint="eastAsia" w:ascii="仿宋" w:hAnsi="仿宋" w:eastAsia="仿宋" w:cs="仿宋"/>
          <w:spacing w:val="6"/>
          <w:sz w:val="24"/>
          <w:highlight w:val="lightGray"/>
        </w:rPr>
        <w:t>主要编写“标准为什么这样规定”，可从以下四方面的角度编写：</w:t>
      </w:r>
    </w:p>
    <w:p w14:paraId="2E5C7408">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一是理论依据，如新的原理、新的方案、新的模型、新的技术要求等；</w:t>
      </w:r>
    </w:p>
    <w:p w14:paraId="408DCD39">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二是试验依据，例如试验验证情况及结论；</w:t>
      </w:r>
    </w:p>
    <w:p w14:paraId="25BD2CA1">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三是数据依据，例如基于数据样本的统计分析结论；</w:t>
      </w:r>
    </w:p>
    <w:p w14:paraId="79F9995A">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四是实践依据，例如经过多型产品应用验证获得结论、经验等。</w:t>
      </w:r>
    </w:p>
    <w:p w14:paraId="13993FB8">
      <w:pPr>
        <w:spacing w:line="360" w:lineRule="auto"/>
        <w:ind w:firstLine="504" w:firstLineChars="200"/>
        <w:rPr>
          <w:rFonts w:ascii="仿宋" w:hAnsi="仿宋" w:eastAsia="仿宋" w:cs="仿宋"/>
          <w:color w:val="FF0000"/>
          <w:spacing w:val="6"/>
          <w:sz w:val="24"/>
          <w:highlight w:val="lightGray"/>
        </w:rPr>
      </w:pPr>
      <w:r>
        <w:rPr>
          <w:rFonts w:hint="eastAsia" w:ascii="仿宋" w:hAnsi="仿宋" w:eastAsia="仿宋" w:cs="仿宋"/>
          <w:color w:val="FF0000"/>
          <w:spacing w:val="6"/>
          <w:sz w:val="24"/>
          <w:highlight w:val="lightGray"/>
        </w:rPr>
        <w:t>以上根据各标准的实际情况选择编写）</w:t>
      </w:r>
    </w:p>
    <w:p w14:paraId="4C109C43">
      <w:pPr>
        <w:spacing w:line="300" w:lineRule="auto"/>
        <w:rPr>
          <w:rFonts w:ascii="仿宋" w:hAnsi="仿宋" w:eastAsia="仿宋" w:cs="仿宋"/>
          <w:spacing w:val="6"/>
          <w:sz w:val="24"/>
        </w:rPr>
      </w:pPr>
    </w:p>
    <w:p w14:paraId="022AAED5">
      <w:pPr>
        <w:spacing w:line="300" w:lineRule="auto"/>
        <w:rPr>
          <w:rFonts w:ascii="仿宋" w:hAnsi="仿宋" w:eastAsia="仿宋" w:cs="仿宋"/>
          <w:b/>
          <w:sz w:val="24"/>
        </w:rPr>
      </w:pPr>
      <w:r>
        <w:rPr>
          <w:rFonts w:hint="eastAsia" w:ascii="仿宋" w:hAnsi="仿宋" w:eastAsia="仿宋" w:cs="仿宋"/>
          <w:b/>
          <w:sz w:val="24"/>
        </w:rPr>
        <w:t>5.2  修订标准时，应增加新、旧标准水平的对比</w:t>
      </w:r>
    </w:p>
    <w:p w14:paraId="148EF4D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（1）.技术指标提升</w:t>
      </w:r>
    </w:p>
    <w:p w14:paraId="0FF2CA2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旧标准多以传统高效液相色谱（HPLC）、气相色谱（GC）等技术为主，检测灵敏度和特异性相对有限。新标准引入LC - MS/MS、生物传感器等先进技术，检测灵敏度提升至可检测更低浓度的药物及其代谢产物，如元素杂质检出限提升至≤0.1 ppb，药物结构鉴定灵敏度达到0.05% ，极大提高了复杂生物样本中微量药物的检测能力。</w:t>
      </w:r>
    </w:p>
    <w:p w14:paraId="50EC893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（2）.检测内容扩展</w:t>
      </w:r>
    </w:p>
    <w:p w14:paraId="5AF034E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旧标准侧重于药物常规理化性质和含量检测，而新标准增加了个体化用药相关检测内容，如药物代谢酶基因型、药物靶点基因型检测，以及药物相互作用监控（包括毒性相互作用、转运相互作用、代谢相互作用）等项目 ，为临床精准用药提供更全面的信息支持。</w:t>
      </w:r>
    </w:p>
    <w:p w14:paraId="65810C04">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（3）.质量控制强化</w:t>
      </w:r>
    </w:p>
    <w:p w14:paraId="668D1D75">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旧标准质量控制体系相对简单，主要关注室内质控。新标准完善了质控管理标准，不仅细化室内质控实施方案（设立多浓度质控品、定期检测、数据分析及纠正措施），还强化了室间比对验证机制 ，要求定期参加国家或省级室间质评，通过外部样本比对和内部样本比对，全面评估实验室检测能力，确保检测结果的准确性和一致性。</w:t>
      </w:r>
    </w:p>
    <w:p w14:paraId="297F638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（4）.临床应用导向增强</w:t>
      </w:r>
    </w:p>
    <w:p w14:paraId="0900223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旧标准与临床实践结合不够紧密，新标准紧密围绕临床需求，增加了临床决策支持模型（基于规则模型和机器学习模型），结合患者个体信息（基因型、生理特征、疾病情况等），为医生提供个体化决策支持 ，实现从单纯药物检测向临床治疗指导的转变，更符合现代精准医疗的发展趋势。</w:t>
      </w:r>
    </w:p>
    <w:p w14:paraId="4D0D21D6">
      <w:pPr>
        <w:spacing w:line="300" w:lineRule="auto"/>
        <w:rPr>
          <w:rFonts w:ascii="仿宋" w:hAnsi="仿宋" w:eastAsia="仿宋" w:cs="仿宋"/>
          <w:spacing w:val="6"/>
          <w:sz w:val="24"/>
        </w:rPr>
      </w:pPr>
    </w:p>
    <w:p w14:paraId="0F0ADC12">
      <w:pPr>
        <w:spacing w:line="300" w:lineRule="auto"/>
        <w:rPr>
          <w:rFonts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0A525673">
      <w:pPr>
        <w:spacing w:line="300" w:lineRule="auto"/>
        <w:rPr>
          <w:rFonts w:ascii="仿宋" w:hAnsi="仿宋" w:eastAsia="仿宋" w:cs="仿宋"/>
          <w:b/>
          <w:sz w:val="24"/>
        </w:rPr>
      </w:pPr>
      <w:r>
        <w:rPr>
          <w:rFonts w:hint="eastAsia" w:ascii="仿宋" w:hAnsi="仿宋" w:eastAsia="仿宋" w:cs="仿宋"/>
          <w:b/>
          <w:sz w:val="24"/>
        </w:rPr>
        <w:t>6.1  主要试验（验证）的分析</w:t>
      </w:r>
    </w:p>
    <w:p w14:paraId="71ACF82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 分析方法验证试验</w:t>
      </w:r>
    </w:p>
    <w:p w14:paraId="7C79F53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试验设计：依据《中国药典》2025年版通则、ICH Q2（R1）指导原则，对高效液相色谱 - 质谱联用（LC - MS/MS）、免疫分析法等核心检测方法开展全面验证。针对不同药物类型（如小分子化学药、生物制品），设计涵盖准确度、精密度、专属性、检测限（LOD）、定量限（LOQ）、线性范围等指标的验证方案。</w:t>
      </w:r>
    </w:p>
    <w:p w14:paraId="0C691158">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试验结果：在某抗精神障碍药物血药浓度检测中，LC - MS/MS方法的日内精密度RSD≤1.5%，日间精密度RSD≤3%，准确度在95% - 105%之间；LOD达到0.1 ng/mL，可满足临床低浓度样本检测需求。通过基质效应试验，证明采用内标法定量可有效消除生物样本中的基质干扰，确保检测结果可靠。</w:t>
      </w:r>
    </w:p>
    <w:p w14:paraId="144156D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结论：验证后的方法符合临床检测要求，为标准中方法学参数的设定提供直接依据。</w:t>
      </w:r>
    </w:p>
    <w:p w14:paraId="65AA086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 临床样本适用性试验</w:t>
      </w:r>
    </w:p>
    <w:p w14:paraId="705483D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设计：收集不同疾病患者（如肝肾功能不全、老年患者）的血液、尿液样本，模拟临床真实场景，评估样本处理流程（如抗凝剂选择、样本保存温度和时间）对检测结果的影响。同时，对比不同实验室对同一样本的检测结果，验证方法的重复性和再现性。</w:t>
      </w:r>
    </w:p>
    <w:p w14:paraId="3AF2E04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试验结果：研究发现，肝素抗凝血浆样本在4℃保存72小时后，部分药物浓度下降超过10%，而EDTA抗凝样本稳定性更佳；多中心实验室比对显示，采用标准化操作流程后，检测结果一致性提升至98%以上。</w:t>
      </w:r>
    </w:p>
    <w:p w14:paraId="4A908C1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结论：标准中明确规定样本采集、处理和保存的标准化流程，可有效降低临床检测误差。</w:t>
      </w:r>
    </w:p>
    <w:p w14:paraId="5A87297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 质控体系有效性试验</w:t>
      </w:r>
    </w:p>
    <w:p w14:paraId="3CA8F425">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试验设计：通过室内质控（IQC）和室间质量评价（EQA）验证质量控制体系。在IQC中，连续30天检测高、中、低浓度质控品；在EQA中，参与国家临检中心组织的室间质评活动，对比不同实验室检测结果。</w:t>
      </w:r>
    </w:p>
    <w:p w14:paraId="4CDCCBE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试验结果：IQC数据显示，质控品检测结果均在±2SD范围内，失控率低于0.5%；EQA活动中，实验室在10个药物检测项目上的成绩均达到优秀（PT≥90%）。</w:t>
      </w:r>
    </w:p>
    <w:p w14:paraId="6A524636">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结论：标准中提出的质控方案可有效保障检测结果的准确性和可靠性。</w:t>
      </w:r>
    </w:p>
    <w:p w14:paraId="57C767B5">
      <w:pPr>
        <w:spacing w:line="300" w:lineRule="auto"/>
        <w:rPr>
          <w:rFonts w:hint="eastAsia" w:ascii="仿宋" w:hAnsi="仿宋" w:eastAsia="仿宋" w:cs="仿宋"/>
          <w:spacing w:val="6"/>
          <w:sz w:val="24"/>
          <w:highlight w:val="lightGray"/>
        </w:rPr>
      </w:pPr>
    </w:p>
    <w:p w14:paraId="1B1F74B7">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（说明试验验证工作开展情况、试验验证报告或分析验证报告等。）</w:t>
      </w:r>
    </w:p>
    <w:p w14:paraId="52D6388B">
      <w:pPr>
        <w:spacing w:line="300" w:lineRule="auto"/>
        <w:rPr>
          <w:rFonts w:hint="eastAsia" w:ascii="仿宋" w:hAnsi="仿宋" w:eastAsia="仿宋" w:cs="仿宋"/>
          <w:b/>
          <w:sz w:val="24"/>
        </w:rPr>
      </w:pPr>
      <w:r>
        <w:rPr>
          <w:rFonts w:hint="eastAsia" w:ascii="仿宋" w:hAnsi="仿宋" w:eastAsia="仿宋" w:cs="仿宋"/>
          <w:b/>
          <w:sz w:val="24"/>
        </w:rPr>
        <w:t>6.2  综述报告</w:t>
      </w:r>
    </w:p>
    <w:p w14:paraId="067A1C2A">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1</w:t>
      </w:r>
      <w:r>
        <w:rPr>
          <w:rFonts w:hint="eastAsia" w:ascii="仿宋" w:hAnsi="仿宋" w:eastAsia="仿宋" w:cs="仿宋"/>
          <w:b w:val="0"/>
          <w:bCs/>
          <w:sz w:val="24"/>
        </w:rPr>
        <w:t>）</w:t>
      </w:r>
      <w:r>
        <w:rPr>
          <w:rFonts w:hint="eastAsia" w:ascii="仿宋" w:hAnsi="仿宋" w:eastAsia="仿宋" w:cs="仿宋"/>
          <w:b w:val="0"/>
          <w:bCs/>
          <w:sz w:val="24"/>
          <w:lang w:val="en-US" w:eastAsia="zh-CN"/>
        </w:rPr>
        <w:t>.</w:t>
      </w:r>
      <w:r>
        <w:rPr>
          <w:rFonts w:hint="eastAsia" w:ascii="仿宋" w:hAnsi="仿宋" w:eastAsia="仿宋" w:cs="仿宋"/>
          <w:b w:val="0"/>
          <w:bCs/>
          <w:sz w:val="24"/>
        </w:rPr>
        <w:t>检测方法与验证</w:t>
      </w:r>
    </w:p>
    <w:p w14:paraId="30D35041">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参考《中国药典》2020年版通则9101、USP《美国药典》1125及ICH Q2A，明确分析方法验证的核心项目，包括准确性、精密度、重复性、专属性、检测限与定量限等 。结合LC - MS/MS等技术特性，制定适用于临床复杂样本（如血液、尿液）的检测方法验证流程，确保检测结果的可靠性与一致性。例如，在痕量药物检测中，需重点验证方法的灵敏度与抗基质干扰能力。</w:t>
      </w:r>
    </w:p>
    <w:p w14:paraId="3EE7CD85">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2</w:t>
      </w:r>
      <w:r>
        <w:rPr>
          <w:rFonts w:hint="eastAsia" w:ascii="仿宋" w:hAnsi="仿宋" w:eastAsia="仿宋" w:cs="仿宋"/>
          <w:b w:val="0"/>
          <w:bCs/>
          <w:sz w:val="24"/>
        </w:rPr>
        <w:t>）</w:t>
      </w:r>
      <w:r>
        <w:rPr>
          <w:rFonts w:hint="eastAsia" w:ascii="仿宋" w:hAnsi="仿宋" w:eastAsia="仿宋" w:cs="仿宋"/>
          <w:b w:val="0"/>
          <w:bCs/>
          <w:sz w:val="24"/>
          <w:lang w:val="en-US" w:eastAsia="zh-CN"/>
        </w:rPr>
        <w:t>.</w:t>
      </w:r>
      <w:r>
        <w:rPr>
          <w:rFonts w:hint="eastAsia" w:ascii="仿宋" w:hAnsi="仿宋" w:eastAsia="仿宋" w:cs="仿宋"/>
          <w:b w:val="0"/>
          <w:bCs/>
          <w:sz w:val="24"/>
        </w:rPr>
        <w:t>质量控制体系</w:t>
      </w:r>
    </w:p>
    <w:p w14:paraId="7F3467BA">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构建涵盖室内质控（IQC）与室间质量评价（EQA）的全流程质量控制体系。参考国家临检中心室间质评标准，制定临床药物分析实验室的定期比对方案，确保不同实验室间检测结果的可比性。同时，结合信息化技术，建立检测数据的实时监控与追溯机制，保障数据完整性与可溯源性。</w:t>
      </w:r>
    </w:p>
    <w:p w14:paraId="0E635A93">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3</w:t>
      </w:r>
      <w:r>
        <w:rPr>
          <w:rFonts w:hint="eastAsia" w:ascii="仿宋" w:hAnsi="仿宋" w:eastAsia="仿宋" w:cs="仿宋"/>
          <w:b w:val="0"/>
          <w:bCs/>
          <w:sz w:val="24"/>
        </w:rPr>
        <w:t>）</w:t>
      </w:r>
      <w:r>
        <w:rPr>
          <w:rFonts w:hint="eastAsia" w:ascii="仿宋" w:hAnsi="仿宋" w:eastAsia="仿宋" w:cs="仿宋"/>
          <w:b w:val="0"/>
          <w:bCs/>
          <w:sz w:val="24"/>
          <w:lang w:val="en-US" w:eastAsia="zh-CN"/>
        </w:rPr>
        <w:t>.</w:t>
      </w:r>
      <w:r>
        <w:rPr>
          <w:rFonts w:hint="eastAsia" w:ascii="仿宋" w:hAnsi="仿宋" w:eastAsia="仿宋" w:cs="仿宋"/>
          <w:b w:val="0"/>
          <w:bCs/>
          <w:sz w:val="24"/>
        </w:rPr>
        <w:t>技术指标提升</w:t>
      </w:r>
    </w:p>
    <w:p w14:paraId="25914E92">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相比现行标准，本草案进一步明确LC - MS/MS等先进技术的应用规范，提高检测灵敏度与特异性。例如，针对生物样本中痕量药物代谢产物检测，方法检出限可达到μg/L甚至ng/L级别，满足个体化用药监测需求。同时，引入体外生物学活性检测等新方法，替代传统动物实验，提升检测效率与伦理合规性。</w:t>
      </w:r>
    </w:p>
    <w:p w14:paraId="18705CD8">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4</w:t>
      </w:r>
      <w:r>
        <w:rPr>
          <w:rFonts w:hint="eastAsia" w:ascii="仿宋" w:hAnsi="仿宋" w:eastAsia="仿宋" w:cs="仿宋"/>
          <w:b w:val="0"/>
          <w:bCs/>
          <w:sz w:val="24"/>
        </w:rPr>
        <w:t>）</w:t>
      </w:r>
      <w:r>
        <w:rPr>
          <w:rFonts w:hint="eastAsia" w:ascii="仿宋" w:hAnsi="仿宋" w:eastAsia="仿宋" w:cs="仿宋"/>
          <w:b w:val="0"/>
          <w:bCs/>
          <w:sz w:val="24"/>
          <w:lang w:val="en-US" w:eastAsia="zh-CN"/>
        </w:rPr>
        <w:t>.</w:t>
      </w:r>
      <w:r>
        <w:rPr>
          <w:rFonts w:hint="eastAsia" w:ascii="仿宋" w:hAnsi="仿宋" w:eastAsia="仿宋" w:cs="仿宋"/>
          <w:b w:val="0"/>
          <w:bCs/>
          <w:sz w:val="24"/>
        </w:rPr>
        <w:t>临床适用性增强</w:t>
      </w:r>
    </w:p>
    <w:p w14:paraId="2D939AAF">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立足临床实际需求，新增真实世界研究相关检测要求。参考真实世界数据（RWD）与真实世界证据（RWE）的应用指南，规范临床药物监测中数据采集、分析与报告流程，为药物疗效评估和监管决策提供更充分的证据支持 。此外，针对特殊人群（如肝肾功能不全患者）的用药检测，制定差异化技术标准，提升检测结果对临床用药的指导价值。</w:t>
      </w:r>
    </w:p>
    <w:p w14:paraId="1C1C3C41">
      <w:pPr>
        <w:spacing w:line="300" w:lineRule="auto"/>
        <w:ind w:firstLine="480" w:firstLineChars="200"/>
        <w:rPr>
          <w:rFonts w:hint="eastAsia" w:ascii="仿宋" w:hAnsi="仿宋" w:eastAsia="仿宋" w:cs="仿宋"/>
          <w:b w:val="0"/>
          <w:bCs/>
          <w:sz w:val="24"/>
        </w:rPr>
      </w:pPr>
    </w:p>
    <w:p w14:paraId="13B10F6D">
      <w:pPr>
        <w:spacing w:line="30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标准编制，紧密结合国家法规、技术发展与临床实践需求，通过整合现行标准、引入先进技术、强化临床导向，构建了一套科学、规范的通用技术体系。本标准的实施将有助于提升临床药物分析检测质量，推动精准用药发展，为保障公众用药安全提供重要支撑。未来需进一步结合实践反馈，持续优化标准内容，确保其有效性与前瞻性。</w:t>
      </w:r>
    </w:p>
    <w:p w14:paraId="5680D488">
      <w:pPr>
        <w:spacing w:line="300" w:lineRule="auto"/>
        <w:rPr>
          <w:rFonts w:ascii="仿宋" w:hAnsi="仿宋" w:eastAsia="仿宋" w:cs="仿宋"/>
          <w:spacing w:val="6"/>
          <w:sz w:val="24"/>
        </w:rPr>
      </w:pPr>
    </w:p>
    <w:p w14:paraId="0316E8BD">
      <w:pPr>
        <w:spacing w:line="300" w:lineRule="auto"/>
        <w:rPr>
          <w:rFonts w:ascii="仿宋" w:hAnsi="仿宋" w:eastAsia="仿宋" w:cs="仿宋"/>
          <w:b/>
          <w:sz w:val="24"/>
        </w:rPr>
      </w:pPr>
      <w:r>
        <w:rPr>
          <w:rFonts w:hint="eastAsia" w:ascii="仿宋" w:hAnsi="仿宋" w:eastAsia="仿宋" w:cs="仿宋"/>
          <w:b/>
          <w:sz w:val="24"/>
        </w:rPr>
        <w:t>6.3  技术经济论证</w:t>
      </w:r>
    </w:p>
    <w:p w14:paraId="189CFFC6">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 技术可行性</w:t>
      </w:r>
    </w:p>
    <w:p w14:paraId="564D276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现有技术基础：国内三甲医院、第三方检测机构已广泛配备LC - MS/MS、全自动免疫分析仪等先进设备，具备执行标准的硬件条件；高校和科研机构在药物分析领域的技术储备（如新型样本前处理技术、人工智能辅助数据分析）为标准实施提供技术支持。</w:t>
      </w:r>
    </w:p>
    <w:p w14:paraId="77BCF5B2">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技术难点突破：针对临床样本复杂性导致的检测干扰问题，通过优化前处理流程（如固相萃取、蛋白沉淀）和采用内标法定量，有效解决基质效应；通过建立标准化操作流程（SOP），降低不同实验室间的技术差异。</w:t>
      </w:r>
    </w:p>
    <w:p w14:paraId="157741B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 经济合理性</w:t>
      </w:r>
    </w:p>
    <w:p w14:paraId="41EA9211">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成本分析：</w:t>
      </w:r>
    </w:p>
    <w:p w14:paraId="5BE4E7A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前期投入：检测设备购置成本约50 - 200万元（如LC - MS/MS设备），实验室改造及人员培训费用约10 - 30万元。</w:t>
      </w:r>
    </w:p>
    <w:p w14:paraId="32C6AB61">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运行成本：单次检测试剂成本约50 - 200元，质控品和耗材成本约占检测费用的15% - 20%。</w:t>
      </w:r>
    </w:p>
    <w:p w14:paraId="2108BCC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收益分析：</w:t>
      </w:r>
    </w:p>
    <w:p w14:paraId="3CE4E876">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直接收益：临床检测收费标准按项目计算，如血药浓度监测项目收费70 - 120元/次，假设年检测量5000例，年收入可达35 - 60万元。</w:t>
      </w:r>
    </w:p>
    <w:p w14:paraId="2B9310A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间接收益：通过精准用药减少药物不良反应（ADR）发生率，降低患者住院时间和治疗费用；减少重复检测，提高医疗资源利用效率。</w:t>
      </w:r>
    </w:p>
    <w:p w14:paraId="613EACB5">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 社会效益</w:t>
      </w:r>
    </w:p>
    <w:p w14:paraId="1958D89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提升医疗质量：通过标准化检测流程，降低因检测误差导致的用药失误风险，提高药物治疗有效性和安全性。</w:t>
      </w:r>
    </w:p>
    <w:p w14:paraId="4CDEA85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推动精准医疗：支持治疗药物监测（TDM）和药物基因组学检测，助力个体化用药方案制定，符合国家“健康中国2030”战略需求。</w:t>
      </w:r>
    </w:p>
    <w:p w14:paraId="216571A9">
      <w:pPr>
        <w:spacing w:line="300" w:lineRule="auto"/>
        <w:rPr>
          <w:rFonts w:ascii="仿宋" w:hAnsi="仿宋" w:eastAsia="仿宋" w:cs="仿宋"/>
          <w:spacing w:val="6"/>
          <w:sz w:val="24"/>
        </w:rPr>
      </w:pPr>
    </w:p>
    <w:p w14:paraId="4A456EE1">
      <w:pPr>
        <w:spacing w:line="300" w:lineRule="auto"/>
        <w:rPr>
          <w:rFonts w:ascii="仿宋" w:hAnsi="仿宋" w:eastAsia="仿宋" w:cs="仿宋"/>
          <w:spacing w:val="6"/>
          <w:sz w:val="24"/>
        </w:rPr>
      </w:pPr>
    </w:p>
    <w:p w14:paraId="22125387">
      <w:pPr>
        <w:spacing w:line="300" w:lineRule="auto"/>
        <w:rPr>
          <w:rFonts w:hint="eastAsia" w:ascii="仿宋" w:hAnsi="仿宋" w:eastAsia="仿宋" w:cs="仿宋"/>
          <w:b/>
          <w:sz w:val="24"/>
        </w:rPr>
      </w:pPr>
      <w:r>
        <w:rPr>
          <w:rFonts w:hint="eastAsia" w:ascii="仿宋" w:hAnsi="仿宋" w:eastAsia="仿宋" w:cs="仿宋"/>
          <w:b/>
          <w:sz w:val="24"/>
        </w:rPr>
        <w:t>6.4  预期的经济效果</w:t>
      </w:r>
    </w:p>
    <w:p w14:paraId="098E4FB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 短期效果（1 - 3年）：标准实施初期，检测机构需投入设备和人员培训成本，但随着检测量增长，预计3年内可实现盈亏平衡。以区域中心实验室为例，年检测量达到3000例时，毛利率可提升至30% - 40%。</w:t>
      </w:r>
    </w:p>
    <w:p w14:paraId="170ED81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 长期效果（3 - 5年）：行业标准化程度提高后，检测成本将逐步下降（预计试剂成本降低10% - 15%），市场规模扩大（预计年增长率15% - 20%），形成规模效应。同时，通过减少ADR导致的医疗支出，预计可为社会节约医疗费用超10亿元/年。</w:t>
      </w:r>
    </w:p>
    <w:p w14:paraId="21C7EE1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 产业带动效应：推动国产检测设备和试剂研发，促进医药分析仪器、体外诊断试剂等相关产业发展，预计带动上下游产业链年产值增长5% - 8%。</w:t>
      </w:r>
    </w:p>
    <w:p w14:paraId="0B55A3BA">
      <w:pPr>
        <w:numPr>
          <w:ilvl w:val="0"/>
          <w:numId w:val="0"/>
        </w:numPr>
        <w:spacing w:line="300" w:lineRule="auto"/>
        <w:ind w:firstLine="504" w:firstLineChars="200"/>
        <w:jc w:val="both"/>
        <w:rPr>
          <w:rFonts w:hint="eastAsia" w:ascii="仿宋" w:hAnsi="仿宋" w:eastAsia="仿宋" w:cs="仿宋"/>
          <w:b/>
          <w:sz w:val="24"/>
        </w:rPr>
      </w:pPr>
      <w:r>
        <w:rPr>
          <w:rFonts w:hint="eastAsia" w:ascii="仿宋" w:hAnsi="仿宋" w:eastAsia="仿宋" w:cs="仿宋"/>
          <w:spacing w:val="6"/>
          <w:sz w:val="24"/>
          <w:highlight w:val="none"/>
          <w:lang w:val="en-US" w:eastAsia="zh-CN"/>
        </w:rPr>
        <w:t>通过以上试验验证和经济分析，《临床应用药物分析检测通用要求》标准在技术上可行、经济上合理，具有显著的经济效益和社会效益。</w:t>
      </w:r>
    </w:p>
    <w:p w14:paraId="7A19FA8E">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（说明该标准实施后能带来的经济效益。）</w:t>
      </w:r>
    </w:p>
    <w:p w14:paraId="54AB2AC4">
      <w:pPr>
        <w:spacing w:line="300" w:lineRule="auto"/>
        <w:rPr>
          <w:rFonts w:hint="eastAsia" w:ascii="仿宋" w:hAnsi="仿宋" w:eastAsia="仿宋" w:cs="仿宋"/>
          <w:b/>
          <w:sz w:val="24"/>
        </w:rPr>
      </w:pPr>
    </w:p>
    <w:p w14:paraId="07AF157A">
      <w:pPr>
        <w:spacing w:line="300" w:lineRule="auto"/>
        <w:rPr>
          <w:rFonts w:ascii="仿宋" w:hAnsi="仿宋" w:eastAsia="仿宋" w:cs="仿宋"/>
          <w:b/>
          <w:sz w:val="24"/>
        </w:rPr>
      </w:pPr>
      <w:r>
        <w:rPr>
          <w:rFonts w:hint="eastAsia" w:ascii="仿宋" w:hAnsi="仿宋" w:eastAsia="仿宋" w:cs="仿宋"/>
          <w:b/>
          <w:sz w:val="24"/>
        </w:rPr>
        <w:t>7  采用国际标准的程度及水平的简要说明</w:t>
      </w:r>
    </w:p>
    <w:p w14:paraId="3BBE012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在编制过程中，以满足国内临床药物分析检测需求为核心，坚持“非必要不采标”原则，优先整合国内现行法规与技术规范。若涉及国际标准引用，均严格遵循版权相关规定，确保引用合法合规。目前标准对国际标准的采用程度及水平具体如下：</w:t>
      </w:r>
    </w:p>
    <w:p w14:paraId="7931A5A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(1).国际标准采用原则</w:t>
      </w:r>
    </w:p>
    <w:p w14:paraId="61D5C14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必要性评估：仅在国内尚无对应技术规范、且国际标准对解决临床实际问题具有显著指导意义时，才考虑引用国际标准内容。</w:t>
      </w:r>
    </w:p>
    <w:p w14:paraId="7ACC13A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本土化适配：引用的国际标准内容需结合我国医药产业发展水平、临床实践特点及法规要求进行适应性调整，避免直接照搬。</w:t>
      </w:r>
    </w:p>
    <w:p w14:paraId="2A10CBE3">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版权合规：若引用国际标准原文，严格通过正规渠道获取版权授权，或采用等效转化方式，确保标准编制及实施符合知识产权相关规定。</w:t>
      </w:r>
    </w:p>
    <w:p w14:paraId="6DA9FCE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(2).国际标准采用情况</w:t>
      </w:r>
    </w:p>
    <w:p w14:paraId="418F2C42">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直接采用与等效转化</w:t>
      </w:r>
    </w:p>
    <w:p w14:paraId="4B6D14F0">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分析方法验证：参考国际人用药品注册技术协调会（ICH）发布的 ICH Q2（R1）《分析方法验证：文本与方法学》，对高效液相色谱 - 质谱联用（LC - MS/MS）、免疫分析法等核心检测方法的验证指标（如准确度、精密度、专属性）进行规范。在引用过程中，结合《中国药典》2025年版通则要求，补充适用于国内临床样本复杂性的验证流程（如基质效应评估），实现等效转化。</w:t>
      </w:r>
    </w:p>
    <w:p w14:paraId="1D6DA87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实验室质量管理：部分借鉴 ISO 15189:2022《医学实验室—质量和能力的专用要求》 中关于实验室管理体系、人员资质及文件控制的通用原则，但重点突出药物分析检测的特殊性，如增加临床药物浓度监测的特殊质控要求，形成本土化的质量控制体系。</w:t>
      </w:r>
    </w:p>
    <w:p w14:paraId="0F5C5B9E">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参考性引用</w:t>
      </w:r>
    </w:p>
    <w:p w14:paraId="70DED0AF">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检测技术规范：以美国药典（USP）、欧洲药典（Ph.Eur.）中先进检测技术（如核磁共振光谱法、高分辨质谱法）的应用指南为参考，结合我国临床实验室设备普及程度及技术能力，制定符合国情的检测方法操作细则。引用内容仅作为技术补充，不直接纳入标准正文。</w:t>
      </w:r>
    </w:p>
    <w:p w14:paraId="24F3BF64">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 药物警戒监测：参考 ICH E2D《药物警戒数据的管理和报告》 中关于不良反应与检测数据关联性分析的思路，完善标准中药物浓度异常结果与临床风险预警的联动机制，但具体实施流程严格遵循《药品不良反应报告和监测管理办法》等国内法规。</w:t>
      </w:r>
    </w:p>
    <w:p w14:paraId="600458D9">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(3).与国际标准的水平对比</w:t>
      </w:r>
    </w:p>
    <w:p w14:paraId="118DC0E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技术指标一致性：在分析方法验证、实验室质量管理等通用技术领域，本标准与ICH、ISO等国际标准保持技术理念一致，但在具体参数要求上更贴合国内临床样本特点（如生物样本基质复杂性）及检测设备普及情况。</w:t>
      </w:r>
    </w:p>
    <w:p w14:paraId="23780E3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法规适应性优势：相比国际标准，本标准更紧密衔接《中华人民共和国药品管理法》《药物临床试验质量管理规范》（GCP）等国内法规，在数据可追溯性、样本伦理管理等方面具有更强的合规性，更适用于我国临床药物检测场景。</w:t>
      </w:r>
    </w:p>
    <w:p w14:paraId="350DF5A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本土化创新：针对我国特色中药制剂、民族药的临床检测需求，标准新增专属检测项目及方法（如中药成分指纹图谱分析），填补国际标准在该领域的空白，体现中国特色与技术创新。</w:t>
      </w:r>
    </w:p>
    <w:p w14:paraId="5485A01A">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总之，本标准在编制过程中，以“立足国内需求、适度对标国际”为原则，对国际标准的采用以参考借鉴和等效转化为主，避免直接采标带来的版权风险与适用性问题。通过将国际先进技术理念与我国临床实践相结合，既保障了标准的技术先进性，又确保其符合国内法规要求，形成了具有中国特色的临床药物分析检测通用标准体系。</w:t>
      </w:r>
    </w:p>
    <w:p w14:paraId="018EB573">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（协会团体标准要采用国际标准或国外标准前，需先解决版权问题。因此非必要，不采标。）</w:t>
      </w:r>
    </w:p>
    <w:p w14:paraId="7827DDFE">
      <w:pPr>
        <w:spacing w:line="300" w:lineRule="auto"/>
        <w:rPr>
          <w:rFonts w:hint="eastAsia" w:ascii="仿宋" w:hAnsi="仿宋" w:eastAsia="仿宋" w:cs="仿宋"/>
          <w:spacing w:val="6"/>
          <w:sz w:val="24"/>
          <w:highlight w:val="lightGray"/>
        </w:rPr>
      </w:pPr>
    </w:p>
    <w:p w14:paraId="1C9A957B">
      <w:pPr>
        <w:spacing w:line="300" w:lineRule="auto"/>
        <w:rPr>
          <w:rFonts w:hint="eastAsia" w:ascii="仿宋" w:hAnsi="仿宋" w:eastAsia="仿宋" w:cs="仿宋"/>
          <w:b/>
          <w:sz w:val="24"/>
        </w:rPr>
      </w:pPr>
      <w:r>
        <w:rPr>
          <w:rFonts w:hint="eastAsia" w:ascii="仿宋" w:hAnsi="仿宋" w:eastAsia="仿宋" w:cs="仿宋"/>
          <w:b/>
          <w:sz w:val="24"/>
        </w:rPr>
        <w:t>8  重大分歧意见的处理经过和依据</w:t>
      </w:r>
    </w:p>
    <w:p w14:paraId="0AA5B687">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本标准在起草和讨论过程中尚未发现任何重大分歧意见，修改工作仅限于对一些技术问题进行修订和补充。</w:t>
      </w:r>
    </w:p>
    <w:p w14:paraId="16867274">
      <w:pPr>
        <w:spacing w:line="300" w:lineRule="auto"/>
        <w:rPr>
          <w:rFonts w:hint="eastAsia" w:ascii="仿宋" w:hAnsi="仿宋" w:eastAsia="仿宋" w:cs="仿宋"/>
          <w:b/>
          <w:sz w:val="24"/>
        </w:rPr>
      </w:pPr>
    </w:p>
    <w:p w14:paraId="5E26D7AF">
      <w:pPr>
        <w:spacing w:line="36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（什么时候在什么阶段与什么单位就标准的什么内容出现了重大分歧；分歧意见是什么；主编单位采取了什么方式与意见提出单位（或提出专家）进行沟通协商，达成什么样的结果；在标准中如何体现。）</w:t>
      </w:r>
    </w:p>
    <w:p w14:paraId="0EE3DA45">
      <w:pPr>
        <w:spacing w:line="300" w:lineRule="auto"/>
        <w:rPr>
          <w:rFonts w:ascii="仿宋" w:hAnsi="仿宋" w:eastAsia="仿宋" w:cs="仿宋"/>
          <w:spacing w:val="6"/>
          <w:sz w:val="24"/>
        </w:rPr>
      </w:pPr>
    </w:p>
    <w:p w14:paraId="25F0F037">
      <w:pPr>
        <w:spacing w:line="300" w:lineRule="auto"/>
        <w:rPr>
          <w:rFonts w:hint="eastAsia"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5326842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成立标准实施领导小组，由协会药物分析推广组牵头，联合医疗机构、第三方检测机构和行业协会，明确各方职责，制定实施计划；定期组织宣贯培训，提升从业人员对标准的理解与执行能力。设置过渡期，机构按原有标准完成在检项目；对部分复杂技术要求，提供分阶段达标指导；开展试点示范，总结经验后逐步推广，确保新旧标准平稳衔接。</w:t>
      </w:r>
    </w:p>
    <w:p w14:paraId="13741D75">
      <w:pPr>
        <w:spacing w:line="30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标准培训工作的要求和建议；关于推广应用标准的手段和方式建议；关于标准贯彻效果检查和评估的建议。</w:t>
      </w:r>
      <w:r>
        <w:rPr>
          <w:rFonts w:hint="eastAsia" w:ascii="仿宋" w:hAnsi="仿宋" w:eastAsia="仿宋" w:cs="仿宋"/>
          <w:spacing w:val="6"/>
          <w:sz w:val="24"/>
          <w:highlight w:val="lightGray"/>
        </w:rPr>
        <w:t>）</w:t>
      </w:r>
    </w:p>
    <w:p w14:paraId="24DC694A">
      <w:pPr>
        <w:spacing w:line="360" w:lineRule="auto"/>
        <w:ind w:firstLine="504" w:firstLineChars="200"/>
        <w:rPr>
          <w:rFonts w:ascii="仿宋" w:hAnsi="仿宋" w:eastAsia="仿宋" w:cs="仿宋"/>
          <w:spacing w:val="6"/>
          <w:sz w:val="24"/>
        </w:rPr>
      </w:pPr>
    </w:p>
    <w:p w14:paraId="4B553EA1">
      <w:pPr>
        <w:spacing w:line="300" w:lineRule="auto"/>
        <w:rPr>
          <w:rFonts w:ascii="仿宋" w:hAnsi="仿宋" w:eastAsia="仿宋" w:cs="仿宋"/>
          <w:b/>
          <w:sz w:val="24"/>
        </w:rPr>
      </w:pPr>
      <w:r>
        <w:rPr>
          <w:rFonts w:hint="eastAsia" w:ascii="仿宋" w:hAnsi="仿宋" w:eastAsia="仿宋" w:cs="仿宋"/>
          <w:b/>
          <w:sz w:val="24"/>
        </w:rPr>
        <w:t>10  其他应予说明的事项，如涉及专利的处理等</w:t>
      </w:r>
    </w:p>
    <w:p w14:paraId="030C131C">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项目变更信息：本标准编制过程严格遵循《国家标准管理办法》相关规定，目前无重大项目变更。若后续因技术发展、法规更新需调整标准内容，将依据标准复审与修订程序，通过修改单或新版本形式发布，确保标准时效性与适用性。</w:t>
      </w:r>
    </w:p>
    <w:p w14:paraId="12889F6D">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标准与专利的关系：本标准编制以通用技术要求为核心，尽量规避专利引用。仅当技术上无法避免涉及必要专利时，方考虑纳入。若涉及专利，需满足以下条件：其一，专利为实施标准必不可少的技术；其二，专利持有人需向标准发布机构提交书面声明，同意免费使用或在合理无歧视条款下进行授权许可谈判 。无论纳入专利属于何种情形，均将在标准编制说明中明确披露专利信息、持有人声明及授权条款，保障标准实施过程中专利使用的合规性与透明性。</w:t>
      </w:r>
    </w:p>
    <w:p w14:paraId="3B0112DB">
      <w:pPr>
        <w:numPr>
          <w:ilvl w:val="0"/>
          <w:numId w:val="0"/>
        </w:numPr>
        <w:spacing w:line="300" w:lineRule="auto"/>
        <w:ind w:firstLine="504" w:firstLineChars="200"/>
        <w:jc w:val="both"/>
        <w:rPr>
          <w:rFonts w:hint="eastAsia" w:ascii="仿宋" w:hAnsi="仿宋" w:eastAsia="仿宋" w:cs="仿宋"/>
          <w:spacing w:val="6"/>
          <w:sz w:val="24"/>
          <w:highlight w:val="none"/>
          <w:lang w:val="en-US" w:eastAsia="zh-CN"/>
        </w:rPr>
      </w:pPr>
    </w:p>
    <w:p w14:paraId="71648600">
      <w:pPr>
        <w:spacing w:line="300" w:lineRule="auto"/>
        <w:rPr>
          <w:rFonts w:ascii="仿宋" w:hAnsi="仿宋" w:eastAsia="仿宋" w:cs="仿宋"/>
          <w:sz w:val="24"/>
          <w:highlight w:val="lightGray"/>
        </w:rPr>
      </w:pPr>
      <w:r>
        <w:rPr>
          <w:rFonts w:hint="eastAsia" w:ascii="仿宋" w:hAnsi="仿宋" w:eastAsia="仿宋" w:cs="仿宋"/>
          <w:sz w:val="24"/>
          <w:highlight w:val="lightGray"/>
        </w:rPr>
        <w:t>（写出项目变更信息等。</w:t>
      </w:r>
    </w:p>
    <w:p w14:paraId="3F9A05B6">
      <w:pPr>
        <w:spacing w:line="360" w:lineRule="auto"/>
        <w:rPr>
          <w:rFonts w:ascii="仿宋" w:hAnsi="仿宋" w:eastAsia="仿宋" w:cs="仿宋"/>
          <w:spacing w:val="6"/>
          <w:sz w:val="24"/>
          <w:highlight w:val="lightGray"/>
        </w:rPr>
      </w:pPr>
      <w:r>
        <w:rPr>
          <w:rFonts w:hint="eastAsia" w:ascii="仿宋" w:hAnsi="仿宋" w:eastAsia="仿宋" w:cs="仿宋"/>
          <w:spacing w:val="6"/>
          <w:sz w:val="24"/>
          <w:highlight w:val="lightGray"/>
        </w:rPr>
        <w:t>写出标准与专利的关系。只有符合下列条件时才考虑在标准中纳入专利 ：</w:t>
      </w:r>
    </w:p>
    <w:p w14:paraId="16FEE3A4">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一是从技术角度考虑确实无法避免涉及专利，即涉及的是必要专利；</w:t>
      </w:r>
    </w:p>
    <w:p w14:paraId="7D08B10C">
      <w:pPr>
        <w:spacing w:line="36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highlight w:val="lightGray"/>
        </w:rPr>
        <w:t>二是专利持有人在自愿的基础上，向标准发布机构提交书面声明，同意可以免费使用其专利，或愿意同任何申请人在合理且无歧视的条款和条件下就专利授权许可进行谈判。</w:t>
      </w:r>
    </w:p>
    <w:p w14:paraId="7F824EAE">
      <w:pPr>
        <w:spacing w:line="360" w:lineRule="auto"/>
        <w:ind w:firstLine="504" w:firstLineChars="200"/>
        <w:rPr>
          <w:rFonts w:ascii="仿宋" w:hAnsi="仿宋" w:eastAsia="仿宋" w:cs="仿宋"/>
          <w:sz w:val="24"/>
          <w:highlight w:val="lightGray"/>
        </w:rPr>
      </w:pPr>
      <w:r>
        <w:rPr>
          <w:rFonts w:hint="eastAsia" w:ascii="仿宋" w:hAnsi="仿宋" w:eastAsia="仿宋" w:cs="仿宋"/>
          <w:spacing w:val="6"/>
          <w:sz w:val="24"/>
          <w:highlight w:val="lightGray"/>
        </w:rPr>
        <w:t>无论标准包含的</w:t>
      </w:r>
      <w:r>
        <w:rPr>
          <w:rFonts w:hint="eastAsia" w:ascii="仿宋" w:hAnsi="仿宋" w:eastAsia="仿宋" w:cs="仿宋"/>
          <w:spacing w:val="8"/>
          <w:sz w:val="24"/>
          <w:highlight w:val="lightGray"/>
          <w:shd w:val="clear" w:color="auto" w:fill="FFFFFF"/>
        </w:rPr>
        <w:t>专利属于上述哪种条件，都应当在标准编制说明中进行说明。</w:t>
      </w:r>
      <w:r>
        <w:rPr>
          <w:rFonts w:hint="eastAsia" w:ascii="仿宋" w:hAnsi="仿宋" w:eastAsia="仿宋" w:cs="仿宋"/>
          <w:sz w:val="24"/>
          <w:highlight w:val="lightGray"/>
        </w:rPr>
        <w:t>）</w:t>
      </w:r>
    </w:p>
    <w:p w14:paraId="79D4E903">
      <w:pPr>
        <w:spacing w:line="360" w:lineRule="auto"/>
        <w:ind w:firstLine="480" w:firstLineChars="200"/>
        <w:rPr>
          <w:rFonts w:ascii="仿宋" w:hAnsi="仿宋" w:eastAsia="仿宋" w:cs="仿宋"/>
          <w:sz w:val="24"/>
          <w:highlight w:val="lightGray"/>
        </w:rPr>
      </w:pP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8ECE7"/>
    <w:multiLevelType w:val="singleLevel"/>
    <w:tmpl w:val="BA38ECE7"/>
    <w:lvl w:ilvl="0" w:tentative="0">
      <w:start w:val="3"/>
      <w:numFmt w:val="decimal"/>
      <w:suff w:val="nothing"/>
      <w:lvlText w:val="（%1）"/>
      <w:lvlJc w:val="left"/>
    </w:lvl>
  </w:abstractNum>
  <w:abstractNum w:abstractNumId="1">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05E14EC"/>
    <w:multiLevelType w:val="multilevel"/>
    <w:tmpl w:val="105E14EC"/>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0"/>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840" w:firstLine="0"/>
      </w:pPr>
      <w:rPr>
        <w:rFonts w:hint="eastAsia" w:ascii="黑体" w:hAnsi="Times New Roman" w:eastAsia="黑体"/>
        <w:b w:val="0"/>
        <w:i w:val="0"/>
        <w:sz w:val="21"/>
      </w:rPr>
    </w:lvl>
    <w:lvl w:ilvl="3" w:tentative="0">
      <w:start w:val="1"/>
      <w:numFmt w:val="decimal"/>
      <w:pStyle w:val="94"/>
      <w:suff w:val="nothing"/>
      <w:lvlText w:val="%1.%2.%3.%4　"/>
      <w:lvlJc w:val="left"/>
      <w:pPr>
        <w:ind w:left="840" w:firstLine="0"/>
      </w:pPr>
      <w:rPr>
        <w:rFonts w:hint="eastAsia" w:ascii="黑体" w:hAnsi="Times New Roman" w:eastAsia="黑体"/>
        <w:b w:val="0"/>
        <w:i w:val="0"/>
        <w:sz w:val="21"/>
      </w:rPr>
    </w:lvl>
    <w:lvl w:ilvl="4" w:tentative="0">
      <w:start w:val="1"/>
      <w:numFmt w:val="decimal"/>
      <w:pStyle w:val="99"/>
      <w:suff w:val="nothing"/>
      <w:lvlText w:val="%1.%2.%3.%4.%5　"/>
      <w:lvlJc w:val="left"/>
      <w:pPr>
        <w:ind w:left="840" w:firstLine="0"/>
      </w:pPr>
      <w:rPr>
        <w:rFonts w:hint="eastAsia" w:ascii="黑体" w:hAnsi="Times New Roman" w:eastAsia="黑体"/>
        <w:b w:val="0"/>
        <w:i w:val="0"/>
        <w:sz w:val="21"/>
      </w:rPr>
    </w:lvl>
    <w:lvl w:ilvl="5" w:tentative="0">
      <w:start w:val="1"/>
      <w:numFmt w:val="decimal"/>
      <w:pStyle w:val="102"/>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7">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933628F"/>
    <w:multiLevelType w:val="multilevel"/>
    <w:tmpl w:val="7933628F"/>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
  </w:num>
  <w:num w:numId="2">
    <w:abstractNumId w:val="12"/>
  </w:num>
  <w:num w:numId="3">
    <w:abstractNumId w:val="8"/>
  </w:num>
  <w:num w:numId="4">
    <w:abstractNumId w:val="11"/>
  </w:num>
  <w:num w:numId="5">
    <w:abstractNumId w:val="19"/>
  </w:num>
  <w:num w:numId="6">
    <w:abstractNumId w:val="18"/>
  </w:num>
  <w:num w:numId="7">
    <w:abstractNumId w:val="1"/>
  </w:num>
  <w:num w:numId="8">
    <w:abstractNumId w:val="13"/>
  </w:num>
  <w:num w:numId="9">
    <w:abstractNumId w:val="9"/>
  </w:num>
  <w:num w:numId="10">
    <w:abstractNumId w:val="7"/>
  </w:num>
  <w:num w:numId="11">
    <w:abstractNumId w:val="16"/>
  </w:num>
  <w:num w:numId="12">
    <w:abstractNumId w:val="14"/>
  </w:num>
  <w:num w:numId="13">
    <w:abstractNumId w:val="17"/>
  </w:num>
  <w:num w:numId="14">
    <w:abstractNumId w:val="10"/>
  </w:num>
  <w:num w:numId="15">
    <w:abstractNumId w:val="2"/>
  </w:num>
  <w:num w:numId="16">
    <w:abstractNumId w:val="5"/>
  </w:num>
  <w:num w:numId="17">
    <w:abstractNumId w:val="15"/>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5D6"/>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7D9"/>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24A3"/>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1A16"/>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28B1"/>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1467D6F"/>
    <w:rsid w:val="01A324E9"/>
    <w:rsid w:val="01C901A1"/>
    <w:rsid w:val="0200793B"/>
    <w:rsid w:val="026D5659"/>
    <w:rsid w:val="02745C65"/>
    <w:rsid w:val="02CD558E"/>
    <w:rsid w:val="04C06E57"/>
    <w:rsid w:val="05A21435"/>
    <w:rsid w:val="073C0451"/>
    <w:rsid w:val="08D5567E"/>
    <w:rsid w:val="091D7025"/>
    <w:rsid w:val="09C01DC2"/>
    <w:rsid w:val="0A40746F"/>
    <w:rsid w:val="0B4F08C1"/>
    <w:rsid w:val="0B903ADE"/>
    <w:rsid w:val="0BCD6AE0"/>
    <w:rsid w:val="0CBB1C59"/>
    <w:rsid w:val="0D1D435D"/>
    <w:rsid w:val="0D5D20E6"/>
    <w:rsid w:val="0DBF1691"/>
    <w:rsid w:val="0E2F0512"/>
    <w:rsid w:val="0E344BF5"/>
    <w:rsid w:val="0EA666A3"/>
    <w:rsid w:val="0EBE0962"/>
    <w:rsid w:val="0FA273BF"/>
    <w:rsid w:val="1001144E"/>
    <w:rsid w:val="1010343F"/>
    <w:rsid w:val="103510F8"/>
    <w:rsid w:val="107F6E85"/>
    <w:rsid w:val="116369F4"/>
    <w:rsid w:val="12F86B39"/>
    <w:rsid w:val="135A334F"/>
    <w:rsid w:val="135B70C7"/>
    <w:rsid w:val="14A87CF4"/>
    <w:rsid w:val="14B7657F"/>
    <w:rsid w:val="15671D54"/>
    <w:rsid w:val="15E736F6"/>
    <w:rsid w:val="1674297A"/>
    <w:rsid w:val="16B014D8"/>
    <w:rsid w:val="17A9694C"/>
    <w:rsid w:val="1807337A"/>
    <w:rsid w:val="180C18AF"/>
    <w:rsid w:val="188E3A9B"/>
    <w:rsid w:val="196B16E7"/>
    <w:rsid w:val="1A0062D3"/>
    <w:rsid w:val="1A4C32C6"/>
    <w:rsid w:val="1BBB0703"/>
    <w:rsid w:val="1C60574F"/>
    <w:rsid w:val="1C890801"/>
    <w:rsid w:val="1C981C48"/>
    <w:rsid w:val="1ED3045A"/>
    <w:rsid w:val="20505479"/>
    <w:rsid w:val="22644061"/>
    <w:rsid w:val="245E07C6"/>
    <w:rsid w:val="254774AC"/>
    <w:rsid w:val="25C26428"/>
    <w:rsid w:val="26AC3A6A"/>
    <w:rsid w:val="271909D4"/>
    <w:rsid w:val="283F3843"/>
    <w:rsid w:val="28687E03"/>
    <w:rsid w:val="293164A9"/>
    <w:rsid w:val="2AEF03C9"/>
    <w:rsid w:val="2DD438A6"/>
    <w:rsid w:val="2ED74F14"/>
    <w:rsid w:val="2F283EAA"/>
    <w:rsid w:val="2F524C81"/>
    <w:rsid w:val="32935ADE"/>
    <w:rsid w:val="333F17C2"/>
    <w:rsid w:val="33775400"/>
    <w:rsid w:val="343A21BD"/>
    <w:rsid w:val="352D5354"/>
    <w:rsid w:val="35D54660"/>
    <w:rsid w:val="362F3D70"/>
    <w:rsid w:val="36421CF5"/>
    <w:rsid w:val="37C14628"/>
    <w:rsid w:val="39A131D7"/>
    <w:rsid w:val="39E124FA"/>
    <w:rsid w:val="3ACA050B"/>
    <w:rsid w:val="3C8F5568"/>
    <w:rsid w:val="3DA20662"/>
    <w:rsid w:val="40D21EC7"/>
    <w:rsid w:val="41BD4926"/>
    <w:rsid w:val="41C33FBF"/>
    <w:rsid w:val="41D13F2D"/>
    <w:rsid w:val="42811A5F"/>
    <w:rsid w:val="45531F06"/>
    <w:rsid w:val="45C52D84"/>
    <w:rsid w:val="463B5FC2"/>
    <w:rsid w:val="46A33022"/>
    <w:rsid w:val="474D04FA"/>
    <w:rsid w:val="47E30849"/>
    <w:rsid w:val="48780F9E"/>
    <w:rsid w:val="48CA7928"/>
    <w:rsid w:val="497F1DAA"/>
    <w:rsid w:val="4A7144FF"/>
    <w:rsid w:val="4A9401EE"/>
    <w:rsid w:val="4B3D426F"/>
    <w:rsid w:val="4BC92119"/>
    <w:rsid w:val="4C03387D"/>
    <w:rsid w:val="4C8229F4"/>
    <w:rsid w:val="4D6A2FDA"/>
    <w:rsid w:val="4EE51018"/>
    <w:rsid w:val="4F196F13"/>
    <w:rsid w:val="4F6208BA"/>
    <w:rsid w:val="4F9667B6"/>
    <w:rsid w:val="4FF57310"/>
    <w:rsid w:val="510C31D4"/>
    <w:rsid w:val="521E57F4"/>
    <w:rsid w:val="52291B63"/>
    <w:rsid w:val="5249056E"/>
    <w:rsid w:val="52B21B59"/>
    <w:rsid w:val="533D7674"/>
    <w:rsid w:val="53790E64"/>
    <w:rsid w:val="539574B0"/>
    <w:rsid w:val="545C3B2A"/>
    <w:rsid w:val="54AD25D8"/>
    <w:rsid w:val="5530062D"/>
    <w:rsid w:val="55F36710"/>
    <w:rsid w:val="56735488"/>
    <w:rsid w:val="57715B3F"/>
    <w:rsid w:val="58726012"/>
    <w:rsid w:val="5AF26F96"/>
    <w:rsid w:val="5B01367D"/>
    <w:rsid w:val="5C533A65"/>
    <w:rsid w:val="5C855BE8"/>
    <w:rsid w:val="5CA23B87"/>
    <w:rsid w:val="5D0B2591"/>
    <w:rsid w:val="5D105DFA"/>
    <w:rsid w:val="5D222D66"/>
    <w:rsid w:val="5FCC24AC"/>
    <w:rsid w:val="603F387F"/>
    <w:rsid w:val="61581B1D"/>
    <w:rsid w:val="61ED495B"/>
    <w:rsid w:val="624D71A8"/>
    <w:rsid w:val="62546789"/>
    <w:rsid w:val="64151F48"/>
    <w:rsid w:val="64162907"/>
    <w:rsid w:val="64B259E8"/>
    <w:rsid w:val="64F77DD6"/>
    <w:rsid w:val="64F953C5"/>
    <w:rsid w:val="65F8567D"/>
    <w:rsid w:val="677551D7"/>
    <w:rsid w:val="67987117"/>
    <w:rsid w:val="6B2313EE"/>
    <w:rsid w:val="6BF568E6"/>
    <w:rsid w:val="6C895281"/>
    <w:rsid w:val="6D2F1419"/>
    <w:rsid w:val="6D5E04BB"/>
    <w:rsid w:val="6DC02F24"/>
    <w:rsid w:val="6E071C62"/>
    <w:rsid w:val="6E427DDD"/>
    <w:rsid w:val="6E8C4448"/>
    <w:rsid w:val="6F7246F2"/>
    <w:rsid w:val="6FCF744E"/>
    <w:rsid w:val="6FE078AE"/>
    <w:rsid w:val="71C75CA2"/>
    <w:rsid w:val="722872EA"/>
    <w:rsid w:val="73223D39"/>
    <w:rsid w:val="75093403"/>
    <w:rsid w:val="764A782F"/>
    <w:rsid w:val="77071BC4"/>
    <w:rsid w:val="77764653"/>
    <w:rsid w:val="78EF46BD"/>
    <w:rsid w:val="7A7632E8"/>
    <w:rsid w:val="7B95154C"/>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ind w:firstLine="363"/>
      <w:jc w:val="center"/>
      <w:outlineLvl w:val="0"/>
    </w:pPr>
    <w:rPr>
      <w:b/>
      <w:bCs/>
      <w:kern w:val="44"/>
      <w:sz w:val="28"/>
      <w:szCs w:val="44"/>
      <w:lang w:val="zh-CN"/>
    </w:rPr>
  </w:style>
  <w:style w:type="paragraph" w:styleId="3">
    <w:name w:val="heading 2"/>
    <w:basedOn w:val="1"/>
    <w:next w:val="1"/>
    <w:link w:val="145"/>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6"/>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7"/>
    <w:qFormat/>
    <w:uiPriority w:val="0"/>
    <w:pPr>
      <w:outlineLvl w:val="3"/>
    </w:pPr>
    <w:rPr>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0"/>
    <w:semiHidden/>
    <w:qFormat/>
    <w:uiPriority w:val="99"/>
    <w:pPr>
      <w:shd w:val="clear" w:color="auto" w:fill="000080"/>
    </w:pPr>
    <w:rPr>
      <w:lang w:val="zh-CN"/>
    </w:rPr>
  </w:style>
  <w:style w:type="paragraph" w:styleId="11">
    <w:name w:val="annotation text"/>
    <w:basedOn w:val="1"/>
    <w:link w:val="156"/>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8"/>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5"/>
    <w:qFormat/>
    <w:uiPriority w:val="0"/>
    <w:pPr>
      <w:snapToGrid w:val="0"/>
      <w:ind w:right="210" w:rightChars="100"/>
      <w:jc w:val="right"/>
    </w:pPr>
    <w:rPr>
      <w:sz w:val="18"/>
      <w:szCs w:val="18"/>
      <w:lang w:val="zh-CN"/>
    </w:rPr>
  </w:style>
  <w:style w:type="paragraph" w:styleId="22">
    <w:name w:val="header"/>
    <w:basedOn w:val="1"/>
    <w:link w:val="153"/>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link w:val="157"/>
    <w:qFormat/>
    <w:uiPriority w:val="0"/>
    <w:pPr>
      <w:widowControl/>
      <w:spacing w:after="60"/>
      <w:jc w:val="left"/>
      <w:outlineLvl w:val="0"/>
    </w:pPr>
    <w:rPr>
      <w:rFonts w:ascii="Arial" w:hAnsi="Arial"/>
      <w:b/>
      <w:kern w:val="0"/>
      <w:sz w:val="30"/>
      <w:szCs w:val="20"/>
      <w:lang w:val="zh-CN"/>
    </w:rPr>
  </w:style>
  <w:style w:type="paragraph" w:styleId="36">
    <w:name w:val="annotation subject"/>
    <w:basedOn w:val="11"/>
    <w:next w:val="11"/>
    <w:link w:val="152"/>
    <w:qFormat/>
    <w:uiPriority w:val="0"/>
    <w:pPr>
      <w:topLinePunct/>
      <w:adjustRightInd/>
      <w:spacing w:beforeLines="20" w:line="288" w:lineRule="auto"/>
      <w:ind w:firstLine="200" w:firstLineChars="200"/>
      <w:textAlignment w:val="auto"/>
    </w:pPr>
    <w:rPr>
      <w:b/>
      <w:bCs/>
      <w:color w:val="000000"/>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27"/>
    <w:qFormat/>
    <w:uiPriority w:val="0"/>
    <w:rPr>
      <w:rFonts w:ascii="宋体"/>
      <w:sz w:val="21"/>
      <w:lang w:val="en-US" w:eastAsia="zh-CN" w:bidi="ar-SA"/>
    </w:rPr>
  </w:style>
  <w:style w:type="paragraph" w:customStyle="1" w:styleId="4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7"/>
    <w:qFormat/>
    <w:uiPriority w:val="0"/>
    <w:pPr>
      <w:numPr>
        <w:ilvl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7"/>
    <w:qFormat/>
    <w:uiPriority w:val="0"/>
    <w:pPr>
      <w:numPr>
        <w:ilvl w:val="0"/>
        <w:numId w:val="0"/>
      </w:numPr>
      <w:outlineLvl w:val="4"/>
    </w:pPr>
  </w:style>
  <w:style w:type="paragraph" w:customStyle="1" w:styleId="58">
    <w:name w:val="示例"/>
    <w:next w:val="59"/>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7"/>
    <w:qFormat/>
    <w:uiPriority w:val="0"/>
    <w:pPr>
      <w:numPr>
        <w:ilvl w:val="4"/>
        <w:numId w:val="3"/>
      </w:numPr>
      <w:outlineLvl w:val="5"/>
    </w:pPr>
  </w:style>
  <w:style w:type="paragraph" w:customStyle="1" w:styleId="62">
    <w:name w:val="五级条标题"/>
    <w:basedOn w:val="61"/>
    <w:next w:val="27"/>
    <w:qFormat/>
    <w:uiPriority w:val="0"/>
    <w:pPr>
      <w:numPr>
        <w:ilvl w:val="5"/>
      </w:numPr>
      <w:outlineLvl w:val="6"/>
    </w:pPr>
  </w:style>
  <w:style w:type="paragraph" w:customStyle="1" w:styleId="63">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4"/>
      </w:numPr>
    </w:pPr>
    <w:rPr>
      <w:rFonts w:ascii="宋体"/>
      <w:szCs w:val="21"/>
    </w:rPr>
  </w:style>
  <w:style w:type="paragraph" w:customStyle="1" w:styleId="67">
    <w:name w:val="编号列项（三级）"/>
    <w:qFormat/>
    <w:uiPriority w:val="0"/>
    <w:rPr>
      <w:rFonts w:ascii="宋体" w:hAnsi="Times New Roman" w:eastAsia="宋体" w:cs="Times New Roman"/>
      <w:sz w:val="21"/>
      <w:lang w:val="en-US" w:eastAsia="zh-CN" w:bidi="ar-SA"/>
    </w:rPr>
  </w:style>
  <w:style w:type="paragraph" w:customStyle="1" w:styleId="68">
    <w:name w:val="示例×："/>
    <w:basedOn w:val="51"/>
    <w:qFormat/>
    <w:uiPriority w:val="0"/>
    <w:pPr>
      <w:numPr>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ind w:left="0"/>
    </w:pPr>
    <w:rPr>
      <w:rFonts w:ascii="宋体" w:eastAsia="宋体"/>
    </w:rPr>
  </w:style>
  <w:style w:type="paragraph" w:customStyle="1" w:styleId="70">
    <w:name w:val="注：（正文）"/>
    <w:basedOn w:val="63"/>
    <w:next w:val="27"/>
    <w:qFormat/>
    <w:uiPriority w:val="0"/>
    <w:pPr>
      <w:numPr>
        <w:ilvl w:val="0"/>
        <w:numId w:val="9"/>
      </w:numPr>
    </w:pPr>
  </w:style>
  <w:style w:type="paragraph" w:customStyle="1" w:styleId="7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7"/>
    <w:next w:val="27"/>
    <w:qFormat/>
    <w:uiPriority w:val="0"/>
    <w:pPr>
      <w:ind w:firstLine="0" w:firstLineChars="0"/>
      <w:jc w:val="center"/>
    </w:pPr>
    <w:rPr>
      <w:rFonts w:ascii="黑体" w:eastAsia="黑体"/>
    </w:rPr>
  </w:style>
  <w:style w:type="paragraph" w:customStyle="1" w:styleId="92">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3">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0" w:beforeLines="0" w:after="0" w:afterLines="0"/>
    </w:pPr>
    <w:rPr>
      <w:rFonts w:ascii="宋体" w:eastAsia="宋体"/>
      <w:szCs w:val="21"/>
    </w:rPr>
  </w:style>
  <w:style w:type="paragraph" w:customStyle="1" w:styleId="96">
    <w:name w:val="附录公式"/>
    <w:basedOn w:val="27"/>
    <w:next w:val="27"/>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7"/>
    <w:qFormat/>
    <w:uiPriority w:val="0"/>
    <w:pPr>
      <w:numPr>
        <w:ilvl w:val="4"/>
      </w:numPr>
      <w:outlineLvl w:val="4"/>
    </w:pPr>
  </w:style>
  <w:style w:type="paragraph" w:customStyle="1" w:styleId="100">
    <w:name w:val="附录三级无"/>
    <w:basedOn w:val="99"/>
    <w:qFormat/>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2">
    <w:name w:val="附录四级条标题"/>
    <w:basedOn w:val="99"/>
    <w:next w:val="27"/>
    <w:qFormat/>
    <w:uiPriority w:val="0"/>
    <w:pPr>
      <w:numPr>
        <w:ilvl w:val="5"/>
      </w:numPr>
      <w:outlineLvl w:val="5"/>
    </w:pPr>
  </w:style>
  <w:style w:type="paragraph" w:customStyle="1" w:styleId="103">
    <w:name w:val="附录四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7"/>
    <w:qFormat/>
    <w:uiPriority w:val="0"/>
    <w:pPr>
      <w:numPr>
        <w:ilvl w:val="6"/>
      </w:numPr>
      <w:outlineLvl w:val="6"/>
    </w:pPr>
  </w:style>
  <w:style w:type="paragraph" w:customStyle="1" w:styleId="107">
    <w:name w:val="附录五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7"/>
    <w:qFormat/>
    <w:uiPriority w:val="0"/>
    <w:pPr>
      <w:numPr>
        <w:ilvl w:val="2"/>
      </w:numPr>
      <w:tabs>
        <w:tab w:val="left" w:pos="360"/>
      </w:tabs>
      <w:autoSpaceDN w:val="0"/>
      <w:spacing w:before="50" w:beforeLines="50" w:after="50" w:afterLines="50"/>
      <w:outlineLvl w:val="2"/>
    </w:pPr>
  </w:style>
  <w:style w:type="paragraph" w:customStyle="1" w:styleId="110">
    <w:name w:val="附录一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0" w:beforeLines="0" w:after="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7"/>
    <w:next w:val="27"/>
    <w:qFormat/>
    <w:uiPriority w:val="0"/>
    <w:pPr>
      <w:ind w:firstLine="360"/>
    </w:pPr>
    <w:rPr>
      <w:sz w:val="18"/>
    </w:rPr>
  </w:style>
  <w:style w:type="paragraph" w:customStyle="1" w:styleId="122">
    <w:name w:val="首示例"/>
    <w:next w:val="27"/>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61"/>
    <w:qFormat/>
    <w:uiPriority w:val="0"/>
    <w:pPr>
      <w:spacing w:before="0" w:beforeLines="0" w:after="0" w:afterLines="0"/>
    </w:pPr>
    <w:rPr>
      <w:rFonts w:ascii="宋体" w:eastAsia="宋体"/>
    </w:rPr>
  </w:style>
  <w:style w:type="paragraph" w:customStyle="1" w:styleId="125">
    <w:name w:val="条文脚注"/>
    <w:basedOn w:val="28"/>
    <w:qFormat/>
    <w:uiPriority w:val="0"/>
    <w:pPr>
      <w:numPr>
        <w:numId w:val="0"/>
      </w:numPr>
      <w:jc w:val="both"/>
    </w:pPr>
  </w:style>
  <w:style w:type="paragraph" w:customStyle="1" w:styleId="126">
    <w:name w:val="图标脚注说明"/>
    <w:basedOn w:val="27"/>
    <w:qFormat/>
    <w:uiPriority w:val="0"/>
    <w:pPr>
      <w:ind w:left="840" w:hanging="420" w:firstLineChars="0"/>
    </w:pPr>
    <w:rPr>
      <w:sz w:val="18"/>
      <w:szCs w:val="18"/>
    </w:rPr>
  </w:style>
  <w:style w:type="paragraph" w:customStyle="1" w:styleId="127">
    <w:name w:val="图表脚注说明"/>
    <w:basedOn w:val="1"/>
    <w:qFormat/>
    <w:uiPriority w:val="0"/>
    <w:pPr>
      <w:numPr>
        <w:ilvl w:val="0"/>
        <w:numId w:val="16"/>
      </w:numPr>
    </w:pPr>
    <w:rPr>
      <w:rFonts w:ascii="宋体"/>
      <w:sz w:val="18"/>
      <w:szCs w:val="18"/>
    </w:rPr>
  </w:style>
  <w:style w:type="paragraph" w:customStyle="1" w:styleId="12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0" w:beforeLines="0" w:after="0" w:afterLines="0"/>
    </w:pPr>
    <w:rPr>
      <w:rFonts w:ascii="宋体" w:eastAsia="宋体"/>
    </w:rPr>
  </w:style>
  <w:style w:type="paragraph" w:customStyle="1" w:styleId="131">
    <w:name w:val="一级无"/>
    <w:basedOn w:val="48"/>
    <w:qFormat/>
    <w:uiPriority w:val="0"/>
    <w:pPr>
      <w:spacing w:before="0" w:beforeLines="0" w:after="0" w:afterLines="0"/>
    </w:pPr>
    <w:rPr>
      <w:rFonts w:ascii="宋体" w:eastAsia="宋体"/>
    </w:rPr>
  </w:style>
  <w:style w:type="paragraph" w:customStyle="1" w:styleId="132">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630"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paragraph" w:customStyle="1" w:styleId="143">
    <w:name w:val="字元 字元 Char Char Char Char Char Char Char"/>
    <w:basedOn w:val="1"/>
    <w:qFormat/>
    <w:uiPriority w:val="0"/>
    <w:rPr>
      <w:rFonts w:ascii="宋体"/>
      <w:sz w:val="24"/>
    </w:rPr>
  </w:style>
  <w:style w:type="character" w:customStyle="1" w:styleId="144">
    <w:name w:val="标题 1 字符"/>
    <w:link w:val="2"/>
    <w:qFormat/>
    <w:uiPriority w:val="0"/>
    <w:rPr>
      <w:b/>
      <w:bCs/>
      <w:kern w:val="44"/>
      <w:sz w:val="28"/>
      <w:szCs w:val="44"/>
      <w:lang w:val="zh-CN" w:eastAsia="zh-CN"/>
    </w:rPr>
  </w:style>
  <w:style w:type="character" w:customStyle="1" w:styleId="145">
    <w:name w:val="标题 2 字符"/>
    <w:link w:val="3"/>
    <w:qFormat/>
    <w:uiPriority w:val="0"/>
    <w:rPr>
      <w:rFonts w:ascii="Cambria" w:hAnsi="Cambria"/>
      <w:b/>
      <w:bCs/>
      <w:sz w:val="32"/>
      <w:szCs w:val="32"/>
      <w:lang w:val="zh-CN" w:eastAsia="zh-CN"/>
    </w:rPr>
  </w:style>
  <w:style w:type="character" w:customStyle="1" w:styleId="146">
    <w:name w:val="标题 3 字符"/>
    <w:link w:val="4"/>
    <w:qFormat/>
    <w:uiPriority w:val="0"/>
    <w:rPr>
      <w:b/>
      <w:color w:val="000000"/>
      <w:sz w:val="28"/>
      <w:szCs w:val="24"/>
      <w:lang w:val="zh-CN" w:eastAsia="zh-CN"/>
    </w:rPr>
  </w:style>
  <w:style w:type="character" w:customStyle="1" w:styleId="147">
    <w:name w:val="标题 4 字符"/>
    <w:link w:val="5"/>
    <w:qFormat/>
    <w:uiPriority w:val="0"/>
    <w:rPr>
      <w:b/>
      <w:bCs/>
      <w:color w:val="000000"/>
      <w:sz w:val="28"/>
      <w:szCs w:val="24"/>
      <w:lang w:val="zh-CN" w:eastAsia="zh-CN"/>
    </w:rPr>
  </w:style>
  <w:style w:type="paragraph" w:customStyle="1" w:styleId="148">
    <w:name w:val="振文"/>
    <w:basedOn w:val="1"/>
    <w:link w:val="149"/>
    <w:qFormat/>
    <w:uiPriority w:val="0"/>
    <w:pPr>
      <w:spacing w:line="480" w:lineRule="exact"/>
      <w:ind w:firstLine="480" w:firstLineChars="200"/>
    </w:pPr>
    <w:rPr>
      <w:rFonts w:ascii="宋体" w:hAnsi="宋体"/>
      <w:color w:val="000000"/>
      <w:sz w:val="24"/>
      <w:szCs w:val="28"/>
      <w:lang w:val="zh-CN"/>
    </w:rPr>
  </w:style>
  <w:style w:type="character" w:customStyle="1" w:styleId="149">
    <w:name w:val="振文 Char"/>
    <w:link w:val="148"/>
    <w:qFormat/>
    <w:uiPriority w:val="0"/>
    <w:rPr>
      <w:rFonts w:ascii="宋体" w:hAnsi="宋体"/>
      <w:color w:val="000000"/>
      <w:kern w:val="2"/>
      <w:sz w:val="24"/>
      <w:szCs w:val="28"/>
      <w:lang w:val="zh-CN" w:eastAsia="zh-CN"/>
    </w:rPr>
  </w:style>
  <w:style w:type="character" w:customStyle="1" w:styleId="150">
    <w:name w:val="文档结构图 字符"/>
    <w:link w:val="10"/>
    <w:semiHidden/>
    <w:qFormat/>
    <w:uiPriority w:val="99"/>
    <w:rPr>
      <w:kern w:val="2"/>
      <w:sz w:val="21"/>
      <w:szCs w:val="24"/>
      <w:shd w:val="clear" w:color="auto" w:fill="000080"/>
    </w:rPr>
  </w:style>
  <w:style w:type="character" w:customStyle="1" w:styleId="151">
    <w:name w:val="日期 Char1"/>
    <w:qFormat/>
    <w:uiPriority w:val="0"/>
    <w:rPr>
      <w:kern w:val="2"/>
      <w:sz w:val="21"/>
      <w:szCs w:val="24"/>
    </w:rPr>
  </w:style>
  <w:style w:type="character" w:customStyle="1" w:styleId="152">
    <w:name w:val="批注主题 字符"/>
    <w:link w:val="36"/>
    <w:qFormat/>
    <w:uiPriority w:val="0"/>
    <w:rPr>
      <w:rFonts w:ascii="Calibri" w:hAnsi="Calibri"/>
      <w:b/>
      <w:bCs/>
      <w:color w:val="000000"/>
      <w:sz w:val="24"/>
    </w:rPr>
  </w:style>
  <w:style w:type="character" w:customStyle="1" w:styleId="153">
    <w:name w:val="页眉 字符"/>
    <w:link w:val="22"/>
    <w:qFormat/>
    <w:uiPriority w:val="99"/>
    <w:rPr>
      <w:kern w:val="2"/>
      <w:sz w:val="18"/>
      <w:szCs w:val="18"/>
    </w:rPr>
  </w:style>
  <w:style w:type="character" w:customStyle="1" w:styleId="154">
    <w:name w:val="日期 字符"/>
    <w:link w:val="18"/>
    <w:qFormat/>
    <w:uiPriority w:val="99"/>
    <w:rPr>
      <w:szCs w:val="22"/>
    </w:rPr>
  </w:style>
  <w:style w:type="character" w:customStyle="1" w:styleId="155">
    <w:name w:val="页脚 字符"/>
    <w:link w:val="21"/>
    <w:qFormat/>
    <w:uiPriority w:val="0"/>
    <w:rPr>
      <w:kern w:val="2"/>
      <w:sz w:val="18"/>
      <w:szCs w:val="18"/>
    </w:rPr>
  </w:style>
  <w:style w:type="character" w:customStyle="1" w:styleId="156">
    <w:name w:val="批注文字 字符"/>
    <w:link w:val="11"/>
    <w:qFormat/>
    <w:uiPriority w:val="0"/>
    <w:rPr>
      <w:rFonts w:ascii="Calibri" w:hAnsi="Calibri"/>
      <w:sz w:val="24"/>
    </w:rPr>
  </w:style>
  <w:style w:type="character" w:customStyle="1" w:styleId="157">
    <w:name w:val="标题 字符"/>
    <w:link w:val="35"/>
    <w:qFormat/>
    <w:uiPriority w:val="0"/>
    <w:rPr>
      <w:rFonts w:ascii="Arial" w:hAnsi="Arial"/>
      <w:b/>
      <w:sz w:val="30"/>
    </w:rPr>
  </w:style>
  <w:style w:type="character" w:customStyle="1" w:styleId="158">
    <w:name w:val="批注框文本 字符"/>
    <w:link w:val="20"/>
    <w:qFormat/>
    <w:uiPriority w:val="0"/>
    <w:rPr>
      <w:rFonts w:ascii="Calibri" w:hAnsi="Calibri"/>
      <w:color w:val="000000"/>
      <w:sz w:val="18"/>
      <w:szCs w:val="18"/>
    </w:rPr>
  </w:style>
  <w:style w:type="character" w:customStyle="1" w:styleId="159">
    <w:name w:val="批注文字 Char1"/>
    <w:qFormat/>
    <w:uiPriority w:val="0"/>
    <w:rPr>
      <w:kern w:val="2"/>
      <w:sz w:val="21"/>
      <w:szCs w:val="24"/>
    </w:rPr>
  </w:style>
  <w:style w:type="character" w:customStyle="1" w:styleId="160">
    <w:name w:val="批注框文本 Char1"/>
    <w:qFormat/>
    <w:uiPriority w:val="0"/>
    <w:rPr>
      <w:kern w:val="2"/>
      <w:sz w:val="18"/>
      <w:szCs w:val="18"/>
    </w:rPr>
  </w:style>
  <w:style w:type="character" w:customStyle="1" w:styleId="161">
    <w:name w:val="批注主题 Char1"/>
    <w:qFormat/>
    <w:uiPriority w:val="0"/>
    <w:rPr>
      <w:b/>
      <w:bCs/>
      <w:kern w:val="2"/>
      <w:sz w:val="21"/>
      <w:szCs w:val="24"/>
    </w:rPr>
  </w:style>
  <w:style w:type="character" w:customStyle="1" w:styleId="162">
    <w:name w:val="日期 Char2"/>
    <w:qFormat/>
    <w:uiPriority w:val="0"/>
    <w:rPr>
      <w:kern w:val="2"/>
      <w:sz w:val="21"/>
      <w:szCs w:val="24"/>
    </w:rPr>
  </w:style>
  <w:style w:type="character" w:customStyle="1" w:styleId="163">
    <w:name w:val="标题 Char1"/>
    <w:qFormat/>
    <w:uiPriority w:val="0"/>
    <w:rPr>
      <w:rFonts w:ascii="Cambria" w:hAnsi="Cambria" w:cs="Times New Roman"/>
      <w:b/>
      <w:bCs/>
      <w:kern w:val="2"/>
      <w:sz w:val="32"/>
      <w:szCs w:val="32"/>
    </w:rPr>
  </w:style>
  <w:style w:type="paragraph" w:customStyle="1" w:styleId="164">
    <w:name w:val="网格型8-表格内容-左对齐"/>
    <w:basedOn w:val="1"/>
    <w:qFormat/>
    <w:uiPriority w:val="0"/>
    <w:pPr>
      <w:spacing w:line="288" w:lineRule="auto"/>
    </w:pPr>
    <w:rPr>
      <w:sz w:val="24"/>
      <w:szCs w:val="18"/>
    </w:rPr>
  </w:style>
  <w:style w:type="paragraph" w:styleId="165">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6">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7">
    <w:name w:val="_Style 12"/>
    <w:basedOn w:val="1"/>
    <w:qFormat/>
    <w:uiPriority w:val="34"/>
    <w:pPr>
      <w:ind w:firstLine="420" w:firstLineChars="200"/>
    </w:pPr>
    <w:rPr>
      <w:rFonts w:ascii="Calibri" w:hAnsi="Calibri"/>
      <w:sz w:val="24"/>
    </w:rPr>
  </w:style>
  <w:style w:type="paragraph" w:customStyle="1" w:styleId="168">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69">
    <w:name w:val="页脚格式"/>
    <w:basedOn w:val="1"/>
    <w:qFormat/>
    <w:uiPriority w:val="0"/>
    <w:pPr>
      <w:topLinePunct/>
      <w:spacing w:line="288" w:lineRule="auto"/>
      <w:jc w:val="left"/>
    </w:pPr>
    <w:rPr>
      <w:rFonts w:ascii="Calibri" w:hAnsi="Calibri"/>
      <w:color w:val="000000"/>
      <w:sz w:val="18"/>
      <w:szCs w:val="18"/>
    </w:rPr>
  </w:style>
  <w:style w:type="paragraph" w:customStyle="1" w:styleId="170">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1">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文字"/>
    <w:basedOn w:val="1"/>
    <w:qFormat/>
    <w:uiPriority w:val="0"/>
    <w:pPr>
      <w:snapToGrid w:val="0"/>
      <w:jc w:val="center"/>
    </w:pPr>
    <w:rPr>
      <w:rFonts w:cs="宋体"/>
      <w:szCs w:val="20"/>
    </w:rPr>
  </w:style>
  <w:style w:type="paragraph" w:customStyle="1" w:styleId="174">
    <w:name w:val="列出段落1"/>
    <w:basedOn w:val="1"/>
    <w:qFormat/>
    <w:uiPriority w:val="34"/>
    <w:pPr>
      <w:ind w:firstLine="420" w:firstLineChars="200"/>
    </w:pPr>
  </w:style>
  <w:style w:type="paragraph" w:customStyle="1" w:styleId="175">
    <w:name w:val="联演正文"/>
    <w:basedOn w:val="1"/>
    <w:link w:val="176"/>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6">
    <w:name w:val="联演正文 Char"/>
    <w:link w:val="175"/>
    <w:qFormat/>
    <w:uiPriority w:val="0"/>
    <w:rPr>
      <w:rFonts w:ascii="仿宋_GB2312" w:hAnsi="宋体" w:eastAsia="仿宋_GB2312"/>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50EB9-2976-4AD8-ABC5-2BE72B8F385E}">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16</Pages>
  <Words>4605</Words>
  <Characters>4734</Characters>
  <Lines>10</Lines>
  <Paragraphs>3</Paragraphs>
  <TotalTime>0</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2022-04-15T03:45:00Z</dcterms:created>
  <dc:creator>CNIS</dc:creator>
  <cp:lastModifiedBy>子燕1403595196</cp:lastModifiedBy>
  <cp:lastPrinted>2021-06-30T06:13:00Z</cp:lastPrinted>
  <dcterms:modified xsi:type="dcterms:W3CDTF">2025-08-14T01:41:40Z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253D760CBD364D21B57555B196CF0637_13</vt:lpwstr>
  </property>
  <property fmtid="{D5CDD505-2E9C-101B-9397-08002B2CF9AE}" pid="4" name="KSOTemplateDocerSaveRecord">
    <vt:lpwstr>eyJoZGlkIjoiZDI1NTM2YzYwZmQyMjZiN2Q1Y2EyZGJmOTU0YjZlNDMiLCJ1c2VySWQiOiIxNzYyNzUzNSJ9</vt:lpwstr>
  </property>
</Properties>
</file>