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7E8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574030">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D462AE8">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13.020</w:t>
            </w:r>
            <w:r>
              <w:rPr>
                <w:rFonts w:ascii="黑体" w:hAnsi="黑体" w:eastAsia="黑体"/>
                <w:sz w:val="21"/>
                <w:szCs w:val="21"/>
              </w:rPr>
              <w:fldChar w:fldCharType="end"/>
            </w:r>
            <w:bookmarkEnd w:id="0"/>
          </w:p>
        </w:tc>
      </w:tr>
      <w:tr w14:paraId="51B8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BF61D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3F5E54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219D465">
                  <w:pPr>
                    <w:pStyle w:val="52"/>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0B68E228">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C51</w:t>
            </w:r>
            <w:r>
              <w:rPr>
                <w:rFonts w:ascii="黑体" w:hAnsi="黑体" w:eastAsia="黑体"/>
                <w:sz w:val="21"/>
                <w:szCs w:val="21"/>
              </w:rPr>
              <w:fldChar w:fldCharType="end"/>
            </w:r>
            <w:bookmarkEnd w:id="2"/>
          </w:p>
        </w:tc>
      </w:tr>
    </w:tbl>
    <w:p w14:paraId="39FB7473">
      <w:pPr>
        <w:pStyle w:val="53"/>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EAF3B69">
      <w:pPr>
        <w:pStyle w:val="198"/>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238730F8">
      <w:pPr>
        <w:pStyle w:val="199"/>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146E5D7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904104B">
      <w:pPr>
        <w:pStyle w:val="53"/>
        <w:framePr w:w="9639" w:h="6976" w:hRule="exact" w:hSpace="0" w:vSpace="0" w:wrap="around" w:hAnchor="page" w:y="6408"/>
        <w:jc w:val="center"/>
        <w:rPr>
          <w:rFonts w:ascii="黑体" w:hAnsi="黑体" w:eastAsia="黑体"/>
          <w:b w:val="0"/>
          <w:bCs w:val="0"/>
          <w:w w:val="100"/>
        </w:rPr>
      </w:pPr>
    </w:p>
    <w:p w14:paraId="14D72EC6">
      <w:pPr>
        <w:pStyle w:val="200"/>
        <w:framePr w:h="6974" w:hRule="exact" w:wrap="around" w:x="1419" w:anchorLock="1"/>
      </w:pPr>
      <w:r>
        <w:rPr>
          <w:rFonts w:hint="eastAsia"/>
        </w:rPr>
        <w:t>人体</w:t>
      </w:r>
      <w:r>
        <w:t>尿</w:t>
      </w:r>
      <w:r>
        <w:rPr>
          <w:rFonts w:hint="eastAsia"/>
        </w:rPr>
        <w:t>液</w:t>
      </w:r>
      <w:r>
        <w:t>中</w:t>
      </w:r>
      <w:r>
        <w:rPr>
          <w:rFonts w:hint="eastAsia"/>
          <w:lang w:val="en-US" w:eastAsia="zh-CN"/>
        </w:rPr>
        <w:t>8种</w:t>
      </w:r>
      <w:bookmarkStart w:id="206" w:name="_GoBack"/>
      <w:bookmarkEnd w:id="206"/>
      <w:r>
        <w:t>农药及代谢物</w:t>
      </w:r>
      <w:r>
        <w:rPr>
          <w:rFonts w:hint="eastAsia"/>
        </w:rPr>
        <w:t>的</w:t>
      </w:r>
      <w:r>
        <w:t>测定</w:t>
      </w:r>
    </w:p>
    <w:p w14:paraId="1E2A2BA9">
      <w:pPr>
        <w:pStyle w:val="200"/>
        <w:framePr w:h="6974" w:hRule="exact" w:wrap="around" w:x="1419" w:anchorLock="1"/>
      </w:pPr>
      <w:r>
        <w:t>液相色谱串联质谱法</w:t>
      </w:r>
    </w:p>
    <w:p w14:paraId="5809BB1E">
      <w:pPr>
        <w:framePr w:w="9639" w:h="6974" w:hRule="exact" w:wrap="around" w:vAnchor="page" w:hAnchor="page" w:x="1419" w:y="6408" w:anchorLock="1"/>
        <w:ind w:left="-1418"/>
      </w:pPr>
    </w:p>
    <w:p w14:paraId="25F9F2DB">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Determination of eight pesticide and its metabolites in human urine——Liquid chromatography tandem mass spectrometry"/>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Determination of eight pesticide and its metabolites in human urine——Liquid chromatography tandem mass spectrometry</w:t>
      </w:r>
      <w:r>
        <w:rPr>
          <w:rFonts w:eastAsia="黑体"/>
          <w:szCs w:val="28"/>
        </w:rPr>
        <w:fldChar w:fldCharType="end"/>
      </w:r>
      <w:bookmarkEnd w:id="8"/>
    </w:p>
    <w:p w14:paraId="5BAB3C1E">
      <w:pPr>
        <w:pStyle w:val="128"/>
        <w:framePr w:w="9639" w:h="6974" w:hRule="exact" w:wrap="around" w:vAnchor="page" w:hAnchor="page" w:x="1419" w:y="6408" w:anchorLock="1"/>
        <w:textAlignment w:val="bottom"/>
        <w:rPr>
          <w:rFonts w:hint="eastAsia" w:eastAsia="黑体"/>
          <w:szCs w:val="28"/>
          <w:lang w:eastAsia="zh-CN"/>
        </w:rPr>
      </w:pPr>
    </w:p>
    <w:p w14:paraId="532E35F8">
      <w:pPr>
        <w:pStyle w:val="128"/>
        <w:framePr w:w="9639" w:h="6974" w:hRule="exact" w:wrap="around" w:vAnchor="page" w:hAnchor="page" w:x="1419" w:y="6408" w:anchorLock="1"/>
        <w:textAlignment w:val="bottom"/>
        <w:rPr>
          <w:rFonts w:hint="eastAsia" w:eastAsia="黑体"/>
          <w:szCs w:val="28"/>
          <w:lang w:eastAsia="zh-CN"/>
        </w:rPr>
      </w:pPr>
      <w:r>
        <w:rPr>
          <w:rFonts w:hint="eastAsia" w:eastAsia="黑体"/>
          <w:szCs w:val="28"/>
          <w:lang w:eastAsia="zh-CN"/>
        </w:rPr>
        <w:t>（</w:t>
      </w:r>
      <w:r>
        <w:rPr>
          <w:rFonts w:hint="eastAsia" w:eastAsia="黑体"/>
          <w:szCs w:val="28"/>
          <w:lang w:val="en-US" w:eastAsia="zh-CN"/>
        </w:rPr>
        <w:t>征求意见稿</w:t>
      </w:r>
      <w:r>
        <w:rPr>
          <w:rFonts w:hint="eastAsia" w:eastAsia="黑体"/>
          <w:szCs w:val="28"/>
          <w:lang w:eastAsia="zh-CN"/>
        </w:rPr>
        <w:t>）</w:t>
      </w:r>
    </w:p>
    <w:p w14:paraId="2ED95A97">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6375111E">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default w:val="2024"/>
            </w:textInput>
          </w:ffData>
        </w:fldChar>
      </w:r>
      <w:bookmarkStart w:id="10" w:name="CMPLSH_DATE"/>
      <w:r>
        <w:rPr>
          <w:sz w:val="21"/>
          <w:szCs w:val="28"/>
        </w:rPr>
        <w:instrText xml:space="preserve"> FORMTEXT </w:instrText>
      </w:r>
      <w:r>
        <w:rPr>
          <w:sz w:val="21"/>
          <w:szCs w:val="28"/>
        </w:rPr>
        <w:fldChar w:fldCharType="separate"/>
      </w:r>
      <w:r>
        <w:rPr>
          <w:sz w:val="21"/>
          <w:szCs w:val="28"/>
        </w:rPr>
        <w:t>2024</w:t>
      </w:r>
      <w:r>
        <w:rPr>
          <w:sz w:val="21"/>
          <w:szCs w:val="28"/>
        </w:rPr>
        <w:fldChar w:fldCharType="end"/>
      </w:r>
      <w:bookmarkEnd w:id="10"/>
    </w:p>
    <w:p w14:paraId="1D1EA9EE">
      <w:pPr>
        <w:pStyle w:val="128"/>
        <w:framePr w:w="9639" w:h="6974" w:hRule="exact" w:wrap="around" w:vAnchor="page" w:hAnchor="page" w:x="1419" w:y="6408" w:anchorLock="1"/>
        <w:spacing w:before="720" w:beforeLines="300" w:after="72" w:afterLines="30" w:line="240" w:lineRule="auto"/>
        <w:textAlignment w:val="bottom"/>
        <w:rPr>
          <w:b/>
          <w:sz w:val="21"/>
          <w:szCs w:val="28"/>
        </w:rPr>
      </w:pPr>
    </w:p>
    <w:p w14:paraId="3C69D6DE">
      <w:pPr>
        <w:pStyle w:val="196"/>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    </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4364E075">
      <w:pPr>
        <w:pStyle w:val="197"/>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1003D23B">
      <w:pPr>
        <w:pStyle w:val="154"/>
        <w:framePr w:h="584" w:hRule="exact" w:hSpace="181" w:vSpace="181" w:wrap="around" w:y="14800"/>
        <w:rPr>
          <w:rFonts w:hAnsi="黑体"/>
        </w:rPr>
      </w:pPr>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7DA4E038">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93ACCCA">
      <w:pPr>
        <w:pStyle w:val="94"/>
        <w:spacing w:after="360"/>
      </w:pPr>
      <w:bookmarkStart w:id="17" w:name="BookMark1"/>
      <w:bookmarkStart w:id="18" w:name="_Toc69122082"/>
      <w:bookmarkStart w:id="19" w:name="_Toc83893123"/>
      <w:bookmarkStart w:id="20" w:name="_Toc76128024"/>
      <w:bookmarkStart w:id="21" w:name="_Toc69120309"/>
      <w:bookmarkStart w:id="22" w:name="_Toc69122065"/>
      <w:bookmarkStart w:id="23" w:name="_Toc83893093"/>
      <w:bookmarkStart w:id="24" w:name="_Toc76128055"/>
      <w:bookmarkStart w:id="25" w:name="_Toc70341294"/>
      <w:r>
        <w:rPr>
          <w:rFonts w:hint="eastAsia"/>
          <w:spacing w:val="320"/>
        </w:rPr>
        <w:t>目</w:t>
      </w:r>
      <w:r>
        <w:rPr>
          <w:rFonts w:hint="eastAsia"/>
        </w:rPr>
        <w:t>次</w:t>
      </w:r>
    </w:p>
    <w:p w14:paraId="010AD904">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"_Toc201916951" </w:instrText>
      </w:r>
      <w:r>
        <w:fldChar w:fldCharType="separate"/>
      </w:r>
      <w:r>
        <w:rPr>
          <w:rStyle w:val="34"/>
          <w:rFonts w:hint="eastAsia"/>
          <w:spacing w:val="320"/>
        </w:rPr>
        <w:t>前</w:t>
      </w:r>
      <w:r>
        <w:rPr>
          <w:rStyle w:val="34"/>
          <w:rFonts w:hint="eastAsia"/>
        </w:rPr>
        <w:t>言</w:t>
      </w:r>
      <w:r>
        <w:tab/>
      </w:r>
      <w:r>
        <w:fldChar w:fldCharType="begin"/>
      </w:r>
      <w:r>
        <w:instrText xml:space="preserve"> PAGEREF _Toc201916951 \h </w:instrText>
      </w:r>
      <w:r>
        <w:fldChar w:fldCharType="separate"/>
      </w:r>
      <w:r>
        <w:t>II</w:t>
      </w:r>
      <w:r>
        <w:fldChar w:fldCharType="end"/>
      </w:r>
      <w:r>
        <w:fldChar w:fldCharType="end"/>
      </w:r>
    </w:p>
    <w:p w14:paraId="183417AB">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"_Toc201916952" </w:instrText>
      </w:r>
      <w:r>
        <w:fldChar w:fldCharType="separate"/>
      </w:r>
      <w:r>
        <w:rPr>
          <w:rStyle w:val="34"/>
          <w:rFonts w:hint="eastAsia"/>
          <w:spacing w:val="320"/>
        </w:rPr>
        <w:t>引</w:t>
      </w:r>
      <w:r>
        <w:rPr>
          <w:rStyle w:val="34"/>
          <w:rFonts w:hint="eastAsia"/>
        </w:rPr>
        <w:t>言</w:t>
      </w:r>
      <w:r>
        <w:tab/>
      </w:r>
      <w:r>
        <w:fldChar w:fldCharType="begin"/>
      </w:r>
      <w:r>
        <w:instrText xml:space="preserve"> PAGEREF _Toc201916952 \h </w:instrText>
      </w:r>
      <w:r>
        <w:fldChar w:fldCharType="separate"/>
      </w:r>
      <w:r>
        <w:t>III</w:t>
      </w:r>
      <w:r>
        <w:fldChar w:fldCharType="end"/>
      </w:r>
      <w:r>
        <w:fldChar w:fldCharType="end"/>
      </w:r>
    </w:p>
    <w:p w14:paraId="217CAADB">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"_Toc201916953" </w:instrText>
      </w:r>
      <w:r>
        <w:fldChar w:fldCharType="separate"/>
      </w:r>
      <w:r>
        <w:rPr>
          <w:rStyle w:val="34"/>
        </w:rPr>
        <w:t>1</w:t>
      </w:r>
      <w:r>
        <w:rPr>
          <w:rStyle w:val="34"/>
          <w:rFonts w:hint="eastAsia"/>
        </w:rPr>
        <w:t xml:space="preserve"> 范围</w:t>
      </w:r>
      <w:r>
        <w:tab/>
      </w:r>
      <w:r>
        <w:fldChar w:fldCharType="begin"/>
      </w:r>
      <w:r>
        <w:instrText xml:space="preserve"> PAGEREF _Toc201916953 \h </w:instrText>
      </w:r>
      <w:r>
        <w:fldChar w:fldCharType="separate"/>
      </w:r>
      <w:r>
        <w:t>1</w:t>
      </w:r>
      <w:r>
        <w:fldChar w:fldCharType="end"/>
      </w:r>
      <w:r>
        <w:fldChar w:fldCharType="end"/>
      </w:r>
    </w:p>
    <w:p w14:paraId="46B34739">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"_Toc201916954" </w:instrText>
      </w:r>
      <w:r>
        <w:fldChar w:fldCharType="separate"/>
      </w:r>
      <w:r>
        <w:rPr>
          <w:rStyle w:val="34"/>
        </w:rPr>
        <w:t>2</w:t>
      </w:r>
      <w:r>
        <w:rPr>
          <w:rStyle w:val="34"/>
          <w:rFonts w:hint="eastAsia"/>
        </w:rPr>
        <w:t xml:space="preserve"> 规范性引用文件</w:t>
      </w:r>
      <w:r>
        <w:tab/>
      </w:r>
      <w:r>
        <w:fldChar w:fldCharType="begin"/>
      </w:r>
      <w:r>
        <w:instrText xml:space="preserve"> PAGEREF _Toc201916954 \h </w:instrText>
      </w:r>
      <w:r>
        <w:fldChar w:fldCharType="separate"/>
      </w:r>
      <w:r>
        <w:t>1</w:t>
      </w:r>
      <w:r>
        <w:fldChar w:fldCharType="end"/>
      </w:r>
      <w:r>
        <w:fldChar w:fldCharType="end"/>
      </w:r>
    </w:p>
    <w:p w14:paraId="66C0259E">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"_Toc201916955" </w:instrText>
      </w:r>
      <w:r>
        <w:fldChar w:fldCharType="separate"/>
      </w:r>
      <w:r>
        <w:rPr>
          <w:rStyle w:val="34"/>
        </w:rPr>
        <w:t>3</w:t>
      </w:r>
      <w:r>
        <w:rPr>
          <w:rStyle w:val="34"/>
          <w:rFonts w:hint="eastAsia"/>
        </w:rPr>
        <w:t xml:space="preserve"> 原理</w:t>
      </w:r>
      <w:r>
        <w:tab/>
      </w:r>
      <w:r>
        <w:fldChar w:fldCharType="begin"/>
      </w:r>
      <w:r>
        <w:instrText xml:space="preserve"> PAGEREF _Toc201916955 \h </w:instrText>
      </w:r>
      <w:r>
        <w:fldChar w:fldCharType="separate"/>
      </w:r>
      <w:r>
        <w:t>1</w:t>
      </w:r>
      <w:r>
        <w:fldChar w:fldCharType="end"/>
      </w:r>
      <w:r>
        <w:fldChar w:fldCharType="end"/>
      </w:r>
    </w:p>
    <w:p w14:paraId="747000B4">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"_Toc201916956" </w:instrText>
      </w:r>
      <w:r>
        <w:fldChar w:fldCharType="separate"/>
      </w:r>
      <w:r>
        <w:rPr>
          <w:rStyle w:val="34"/>
        </w:rPr>
        <w:t>4</w:t>
      </w:r>
      <w:r>
        <w:rPr>
          <w:rStyle w:val="34"/>
          <w:rFonts w:hint="eastAsia"/>
        </w:rPr>
        <w:t xml:space="preserve"> 试剂和材料</w:t>
      </w:r>
      <w:r>
        <w:tab/>
      </w:r>
      <w:r>
        <w:fldChar w:fldCharType="begin"/>
      </w:r>
      <w:r>
        <w:instrText xml:space="preserve"> PAGEREF _Toc201916956 \h </w:instrText>
      </w:r>
      <w:r>
        <w:fldChar w:fldCharType="separate"/>
      </w:r>
      <w:r>
        <w:t>1</w:t>
      </w:r>
      <w:r>
        <w:fldChar w:fldCharType="end"/>
      </w:r>
      <w:r>
        <w:fldChar w:fldCharType="end"/>
      </w:r>
    </w:p>
    <w:p w14:paraId="07D7DF39">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"_Toc201916957" </w:instrText>
      </w:r>
      <w:r>
        <w:fldChar w:fldCharType="separate"/>
      </w:r>
      <w:r>
        <w:rPr>
          <w:rStyle w:val="34"/>
        </w:rPr>
        <w:t>5</w:t>
      </w:r>
      <w:r>
        <w:rPr>
          <w:rStyle w:val="34"/>
          <w:rFonts w:hint="eastAsia"/>
        </w:rPr>
        <w:t xml:space="preserve"> 仪器设备</w:t>
      </w:r>
      <w:r>
        <w:tab/>
      </w:r>
      <w:r>
        <w:fldChar w:fldCharType="begin"/>
      </w:r>
      <w:r>
        <w:instrText xml:space="preserve"> PAGEREF _Toc201916957 \h </w:instrText>
      </w:r>
      <w:r>
        <w:fldChar w:fldCharType="separate"/>
      </w:r>
      <w:r>
        <w:t>2</w:t>
      </w:r>
      <w:r>
        <w:fldChar w:fldCharType="end"/>
      </w:r>
      <w:r>
        <w:fldChar w:fldCharType="end"/>
      </w:r>
    </w:p>
    <w:p w14:paraId="7F9B3B7C">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"_Toc201916958" </w:instrText>
      </w:r>
      <w:r>
        <w:fldChar w:fldCharType="separate"/>
      </w:r>
      <w:r>
        <w:rPr>
          <w:rStyle w:val="34"/>
        </w:rPr>
        <w:t>6</w:t>
      </w:r>
      <w:r>
        <w:rPr>
          <w:rStyle w:val="34"/>
          <w:rFonts w:hint="eastAsia"/>
        </w:rPr>
        <w:t xml:space="preserve"> 样本采集、运输和保存</w:t>
      </w:r>
      <w:r>
        <w:tab/>
      </w:r>
      <w:r>
        <w:fldChar w:fldCharType="begin"/>
      </w:r>
      <w:r>
        <w:instrText xml:space="preserve"> PAGEREF _Toc201916958 \h </w:instrText>
      </w:r>
      <w:r>
        <w:fldChar w:fldCharType="separate"/>
      </w:r>
      <w:r>
        <w:t>2</w:t>
      </w:r>
      <w:r>
        <w:fldChar w:fldCharType="end"/>
      </w:r>
      <w:r>
        <w:fldChar w:fldCharType="end"/>
      </w:r>
    </w:p>
    <w:p w14:paraId="01460394">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"_Toc201916959" </w:instrText>
      </w:r>
      <w:r>
        <w:fldChar w:fldCharType="separate"/>
      </w:r>
      <w:r>
        <w:rPr>
          <w:rStyle w:val="34"/>
        </w:rPr>
        <w:t>7</w:t>
      </w:r>
      <w:r>
        <w:rPr>
          <w:rStyle w:val="34"/>
          <w:rFonts w:hint="eastAsia"/>
        </w:rPr>
        <w:t xml:space="preserve"> 分析步骤</w:t>
      </w:r>
      <w:r>
        <w:tab/>
      </w:r>
      <w:r>
        <w:fldChar w:fldCharType="begin"/>
      </w:r>
      <w:r>
        <w:instrText xml:space="preserve"> PAGEREF _Toc201916959 \h </w:instrText>
      </w:r>
      <w:r>
        <w:fldChar w:fldCharType="separate"/>
      </w:r>
      <w:r>
        <w:t>2</w:t>
      </w:r>
      <w:r>
        <w:fldChar w:fldCharType="end"/>
      </w:r>
      <w:r>
        <w:fldChar w:fldCharType="end"/>
      </w:r>
    </w:p>
    <w:p w14:paraId="7603FE3C">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"_Toc201916960" </w:instrText>
      </w:r>
      <w:r>
        <w:fldChar w:fldCharType="separate"/>
      </w:r>
      <w:r>
        <w:rPr>
          <w:rStyle w:val="34"/>
        </w:rPr>
        <w:t>8</w:t>
      </w:r>
      <w:r>
        <w:rPr>
          <w:rStyle w:val="34"/>
          <w:rFonts w:hint="eastAsia"/>
        </w:rPr>
        <w:t xml:space="preserve"> 方法特性</w:t>
      </w:r>
      <w:r>
        <w:tab/>
      </w:r>
      <w:r>
        <w:fldChar w:fldCharType="begin"/>
      </w:r>
      <w:r>
        <w:instrText xml:space="preserve"> PAGEREF _Toc201916960 \h </w:instrText>
      </w:r>
      <w:r>
        <w:fldChar w:fldCharType="separate"/>
      </w:r>
      <w:r>
        <w:t>4</w:t>
      </w:r>
      <w:r>
        <w:fldChar w:fldCharType="end"/>
      </w:r>
      <w:r>
        <w:fldChar w:fldCharType="end"/>
      </w:r>
    </w:p>
    <w:p w14:paraId="123D29DA">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"_Toc201916961" </w:instrText>
      </w:r>
      <w:r>
        <w:fldChar w:fldCharType="separate"/>
      </w:r>
      <w:r>
        <w:rPr>
          <w:rStyle w:val="34"/>
        </w:rPr>
        <w:t>9</w:t>
      </w:r>
      <w:r>
        <w:rPr>
          <w:rStyle w:val="34"/>
          <w:rFonts w:hint="eastAsia"/>
        </w:rPr>
        <w:t xml:space="preserve"> 质量保证和控制</w:t>
      </w:r>
      <w:r>
        <w:tab/>
      </w:r>
      <w:r>
        <w:fldChar w:fldCharType="begin"/>
      </w:r>
      <w:r>
        <w:instrText xml:space="preserve"> PAGEREF _Toc201916961 \h </w:instrText>
      </w:r>
      <w:r>
        <w:fldChar w:fldCharType="separate"/>
      </w:r>
      <w:r>
        <w:t>4</w:t>
      </w:r>
      <w:r>
        <w:fldChar w:fldCharType="end"/>
      </w:r>
      <w:r>
        <w:fldChar w:fldCharType="end"/>
      </w:r>
    </w:p>
    <w:p w14:paraId="4F7B5E58">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"_Toc201916962" </w:instrText>
      </w:r>
      <w:r>
        <w:fldChar w:fldCharType="separate"/>
      </w:r>
      <w:r>
        <w:rPr>
          <w:rStyle w:val="34"/>
        </w:rPr>
        <w:t>10</w:t>
      </w:r>
      <w:r>
        <w:rPr>
          <w:rStyle w:val="34"/>
          <w:rFonts w:hint="eastAsia"/>
        </w:rPr>
        <w:t xml:space="preserve"> 注意事项</w:t>
      </w:r>
      <w:r>
        <w:tab/>
      </w:r>
      <w:r>
        <w:fldChar w:fldCharType="begin"/>
      </w:r>
      <w:r>
        <w:instrText xml:space="preserve"> PAGEREF _Toc201916962 \h </w:instrText>
      </w:r>
      <w:r>
        <w:fldChar w:fldCharType="separate"/>
      </w:r>
      <w:r>
        <w:t>5</w:t>
      </w:r>
      <w:r>
        <w:fldChar w:fldCharType="end"/>
      </w:r>
      <w:r>
        <w:fldChar w:fldCharType="end"/>
      </w:r>
    </w:p>
    <w:p w14:paraId="4ADF411E">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"_Toc201916963" </w:instrText>
      </w:r>
      <w:r>
        <w:fldChar w:fldCharType="separate"/>
      </w:r>
      <w:r>
        <w:rPr>
          <w:rStyle w:val="34"/>
          <w:rFonts w:hint="eastAsia"/>
          <w:spacing w:val="100"/>
        </w:rPr>
        <w:t>附录A</w:t>
      </w:r>
      <w:r>
        <w:rPr>
          <w:rStyle w:val="34"/>
          <w:rFonts w:hint="eastAsia"/>
        </w:rPr>
        <w:t xml:space="preserve"> （资料性）</w:t>
      </w:r>
      <w:r>
        <w:rPr>
          <w:rStyle w:val="34"/>
        </w:rPr>
        <w:t xml:space="preserve"> 8</w:t>
      </w:r>
      <w:r>
        <w:rPr>
          <w:rStyle w:val="34"/>
          <w:rFonts w:hint="eastAsia"/>
        </w:rPr>
        <w:t>种农药及代谢物的基本信息</w:t>
      </w:r>
      <w:r>
        <w:tab/>
      </w:r>
      <w:r>
        <w:fldChar w:fldCharType="begin"/>
      </w:r>
      <w:r>
        <w:instrText xml:space="preserve"> PAGEREF _Toc201916963 \h </w:instrText>
      </w:r>
      <w:r>
        <w:fldChar w:fldCharType="separate"/>
      </w:r>
      <w:r>
        <w:t>6</w:t>
      </w:r>
      <w:r>
        <w:fldChar w:fldCharType="end"/>
      </w:r>
      <w:r>
        <w:fldChar w:fldCharType="end"/>
      </w:r>
    </w:p>
    <w:p w14:paraId="71D1EBFE">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"_Toc201916964" </w:instrText>
      </w:r>
      <w:r>
        <w:fldChar w:fldCharType="separate"/>
      </w:r>
      <w:r>
        <w:rPr>
          <w:rStyle w:val="34"/>
          <w:rFonts w:hint="eastAsia"/>
          <w:spacing w:val="100"/>
        </w:rPr>
        <w:t>附录B</w:t>
      </w:r>
      <w:r>
        <w:rPr>
          <w:rStyle w:val="34"/>
          <w:rFonts w:hint="eastAsia"/>
        </w:rPr>
        <w:t xml:space="preserve"> （资料性）</w:t>
      </w:r>
      <w:r>
        <w:rPr>
          <w:rStyle w:val="34"/>
        </w:rPr>
        <w:t xml:space="preserve"> 8</w:t>
      </w:r>
      <w:r>
        <w:rPr>
          <w:rStyle w:val="34"/>
          <w:rFonts w:hint="eastAsia"/>
        </w:rPr>
        <w:t>种农药及代谢物及其稳定同位素内标的质谱参数</w:t>
      </w:r>
      <w:r>
        <w:tab/>
      </w:r>
      <w:r>
        <w:fldChar w:fldCharType="begin"/>
      </w:r>
      <w:r>
        <w:instrText xml:space="preserve"> PAGEREF _Toc201916964 \h </w:instrText>
      </w:r>
      <w:r>
        <w:fldChar w:fldCharType="separate"/>
      </w:r>
      <w:r>
        <w:t>7</w:t>
      </w:r>
      <w:r>
        <w:fldChar w:fldCharType="end"/>
      </w:r>
      <w:r>
        <w:fldChar w:fldCharType="end"/>
      </w:r>
    </w:p>
    <w:p w14:paraId="1D577626">
      <w:pPr>
        <w:pStyle w:val="20"/>
        <w:tabs>
          <w:tab w:val="right" w:leader="dot" w:pos="9344"/>
        </w:tabs>
        <w:rPr>
          <w:rFonts w:asciiTheme="minorHAnsi" w:hAnsiTheme="minorHAnsi" w:eastAsiaTheme="minorEastAsia" w:cstheme="minorBidi"/>
          <w:szCs w:val="22"/>
        </w:rPr>
      </w:pPr>
      <w:r>
        <w:fldChar w:fldCharType="begin"/>
      </w:r>
      <w:r>
        <w:instrText xml:space="preserve"> HYPERLINK \l "_Toc201916965" </w:instrText>
      </w:r>
      <w:r>
        <w:fldChar w:fldCharType="separate"/>
      </w:r>
      <w:r>
        <w:rPr>
          <w:rStyle w:val="34"/>
          <w:rFonts w:hint="eastAsia"/>
          <w:spacing w:val="100"/>
        </w:rPr>
        <w:t>附录C</w:t>
      </w:r>
      <w:r>
        <w:rPr>
          <w:rStyle w:val="34"/>
          <w:rFonts w:hint="eastAsia"/>
        </w:rPr>
        <w:t xml:space="preserve"> （资料性）</w:t>
      </w:r>
      <w:r>
        <w:rPr>
          <w:rStyle w:val="34"/>
        </w:rPr>
        <w:t xml:space="preserve"> 8</w:t>
      </w:r>
      <w:r>
        <w:rPr>
          <w:rStyle w:val="34"/>
          <w:rFonts w:hint="eastAsia"/>
        </w:rPr>
        <w:t>种农药及代谢物的提取离子流图</w:t>
      </w:r>
      <w:r>
        <w:tab/>
      </w:r>
      <w:r>
        <w:fldChar w:fldCharType="begin"/>
      </w:r>
      <w:r>
        <w:instrText xml:space="preserve"> PAGEREF _Toc201916965 \h </w:instrText>
      </w:r>
      <w:r>
        <w:fldChar w:fldCharType="separate"/>
      </w:r>
      <w:r>
        <w:t>8</w:t>
      </w:r>
      <w:r>
        <w:fldChar w:fldCharType="end"/>
      </w:r>
      <w:r>
        <w:fldChar w:fldCharType="end"/>
      </w:r>
    </w:p>
    <w:p w14:paraId="380BB865">
      <w:pPr>
        <w:pStyle w:val="94"/>
        <w:spacing w:after="360"/>
        <w:sectPr>
          <w:headerReference r:id="rId9" w:type="default"/>
          <w:footerReference r:id="rId11" w:type="default"/>
          <w:headerReference r:id="rId10" w:type="even"/>
          <w:pgSz w:w="11906" w:h="16838"/>
          <w:pgMar w:top="567" w:right="1134" w:bottom="1134" w:left="1134" w:header="1418" w:footer="1134" w:gutter="284"/>
          <w:pgNumType w:fmt="upperRoman" w:start="1"/>
          <w:cols w:space="425" w:num="1"/>
          <w:formProt w:val="0"/>
          <w:docGrid w:linePitch="312" w:charSpace="0"/>
        </w:sectPr>
      </w:pPr>
      <w:r>
        <w:fldChar w:fldCharType="end"/>
      </w:r>
    </w:p>
    <w:bookmarkEnd w:id="17"/>
    <w:p w14:paraId="34ADC5FF">
      <w:pPr>
        <w:pStyle w:val="92"/>
        <w:spacing w:after="360"/>
      </w:pPr>
      <w:bookmarkStart w:id="26" w:name="_Toc201916951"/>
      <w:bookmarkStart w:id="27" w:name="BookMark2"/>
      <w:r>
        <w:rPr>
          <w:spacing w:val="320"/>
        </w:rPr>
        <w:t>前</w:t>
      </w:r>
      <w:r>
        <w:t>言</w:t>
      </w:r>
      <w:bookmarkEnd w:id="18"/>
      <w:bookmarkEnd w:id="19"/>
      <w:bookmarkEnd w:id="20"/>
      <w:bookmarkEnd w:id="21"/>
      <w:bookmarkEnd w:id="22"/>
      <w:bookmarkEnd w:id="23"/>
      <w:bookmarkEnd w:id="24"/>
      <w:bookmarkEnd w:id="25"/>
      <w:bookmarkEnd w:id="26"/>
    </w:p>
    <w:p w14:paraId="2C85FB4C">
      <w:pPr>
        <w:pStyle w:val="59"/>
        <w:ind w:firstLine="420"/>
      </w:pPr>
      <w:r>
        <w:rPr>
          <w:rFonts w:hint="eastAsia"/>
        </w:rPr>
        <w:t>本文件按照GB/T 1.1</w:t>
      </w:r>
      <w:r>
        <w:t xml:space="preserve"> </w:t>
      </w:r>
      <w:r>
        <w:rPr>
          <w:rFonts w:hint="eastAsia"/>
        </w:rPr>
        <w:t>-</w:t>
      </w:r>
      <w:r>
        <w:t xml:space="preserve"> </w:t>
      </w:r>
      <w:r>
        <w:rPr>
          <w:rFonts w:hint="eastAsia"/>
        </w:rPr>
        <w:t>2020《标准化工作导则  第1部分：标准化文件的结构和起草规则》的规定起草。</w:t>
      </w:r>
    </w:p>
    <w:p w14:paraId="5C199E92">
      <w:pPr>
        <w:pStyle w:val="59"/>
        <w:ind w:firstLine="420"/>
      </w:pPr>
      <w:r>
        <w:rPr>
          <w:rFonts w:hint="eastAsia"/>
        </w:rPr>
        <w:t>本文件的</w:t>
      </w:r>
      <w:r>
        <w:t>附录</w:t>
      </w:r>
      <w:r>
        <w:rPr>
          <w:rFonts w:hint="eastAsia"/>
        </w:rPr>
        <w:t>A、附录B、附录C为资料性附录。</w:t>
      </w:r>
    </w:p>
    <w:p w14:paraId="309DC7E6">
      <w:pPr>
        <w:pStyle w:val="59"/>
        <w:ind w:firstLine="420"/>
      </w:pPr>
      <w:r>
        <w:rPr>
          <w:rFonts w:hint="eastAsia"/>
        </w:rPr>
        <w:t>请注意</w:t>
      </w:r>
      <w:r>
        <w:t>本文件的某些内容可能涉及专利。本文件</w:t>
      </w:r>
      <w:r>
        <w:rPr>
          <w:rFonts w:hint="eastAsia"/>
        </w:rPr>
        <w:t>的</w:t>
      </w:r>
      <w:r>
        <w:t>发布机构不</w:t>
      </w:r>
      <w:r>
        <w:rPr>
          <w:rFonts w:hint="eastAsia"/>
        </w:rPr>
        <w:t>承担识别</w:t>
      </w:r>
      <w:r>
        <w:t>专利的责任。</w:t>
      </w:r>
    </w:p>
    <w:p w14:paraId="300A90DB">
      <w:pPr>
        <w:pStyle w:val="59"/>
        <w:ind w:firstLine="420"/>
      </w:pPr>
      <w:r>
        <w:rPr>
          <w:rFonts w:hint="eastAsia"/>
        </w:rPr>
        <w:t>本文件由xxx提出并归口。</w:t>
      </w:r>
    </w:p>
    <w:p w14:paraId="2063F448">
      <w:pPr>
        <w:pStyle w:val="59"/>
        <w:ind w:firstLine="420"/>
      </w:pPr>
      <w:r>
        <w:rPr>
          <w:rFonts w:hint="eastAsia"/>
        </w:rPr>
        <w:t>本文件起草单位：中国疾病预防控制中心环境与健康相关产品安全所，中国科学院生态环境研究中心，广州市疾病预防控制中心，武汉市疾病预防控制中心</w:t>
      </w:r>
    </w:p>
    <w:p w14:paraId="359F3603">
      <w:pPr>
        <w:pStyle w:val="59"/>
        <w:ind w:firstLine="420"/>
      </w:pPr>
      <w:r>
        <w:rPr>
          <w:rFonts w:hint="eastAsia"/>
        </w:rPr>
        <w:t>本文件主要起草人：张续，胡小键，朱英，王亚韡，黎娟，谭磊，万延建</w:t>
      </w:r>
    </w:p>
    <w:p w14:paraId="37E7F259">
      <w:pPr>
        <w:pStyle w:val="59"/>
        <w:ind w:firstLine="420"/>
      </w:pPr>
      <w:r>
        <w:t>本文件为首次发布</w:t>
      </w:r>
      <w:r>
        <w:rPr>
          <w:rFonts w:hint="eastAsia"/>
        </w:rPr>
        <w:t>。</w:t>
      </w:r>
    </w:p>
    <w:p w14:paraId="58491154">
      <w:pPr>
        <w:pStyle w:val="59"/>
        <w:ind w:firstLine="420"/>
      </w:pPr>
    </w:p>
    <w:p w14:paraId="062AAAEC">
      <w:pPr>
        <w:pStyle w:val="59"/>
        <w:ind w:firstLine="420"/>
        <w:sectPr>
          <w:pgSz w:w="11906" w:h="16838"/>
          <w:pgMar w:top="567" w:right="1134" w:bottom="1134" w:left="1134" w:header="1418" w:footer="1134" w:gutter="284"/>
          <w:pgNumType w:fmt="upperRoman"/>
          <w:cols w:space="425" w:num="1"/>
          <w:formProt w:val="0"/>
          <w:docGrid w:linePitch="312" w:charSpace="0"/>
        </w:sectPr>
      </w:pPr>
    </w:p>
    <w:bookmarkEnd w:id="27"/>
    <w:p w14:paraId="2DEBC653">
      <w:pPr>
        <w:pStyle w:val="92"/>
        <w:spacing w:after="360"/>
      </w:pPr>
      <w:bookmarkStart w:id="28" w:name="_Toc76128025"/>
      <w:bookmarkStart w:id="29" w:name="_Toc76128056"/>
      <w:bookmarkStart w:id="30" w:name="_Toc83893124"/>
      <w:bookmarkStart w:id="31" w:name="_Toc201916952"/>
      <w:bookmarkStart w:id="32" w:name="_Toc83893094"/>
      <w:bookmarkStart w:id="33" w:name="BookMark3"/>
      <w:r>
        <w:rPr>
          <w:spacing w:val="320"/>
        </w:rPr>
        <w:t>引</w:t>
      </w:r>
      <w:r>
        <w:t>言</w:t>
      </w:r>
      <w:bookmarkEnd w:id="28"/>
      <w:bookmarkEnd w:id="29"/>
      <w:bookmarkEnd w:id="30"/>
      <w:bookmarkEnd w:id="31"/>
      <w:bookmarkEnd w:id="32"/>
    </w:p>
    <w:p w14:paraId="3A5E2576">
      <w:pPr>
        <w:pStyle w:val="59"/>
        <w:ind w:firstLine="420"/>
      </w:pPr>
      <w:r>
        <w:rPr>
          <w:rFonts w:hint="eastAsia"/>
          <w:szCs w:val="21"/>
        </w:rPr>
        <w:t>人体生物样本是</w:t>
      </w:r>
      <w:r>
        <w:rPr>
          <w:szCs w:val="21"/>
        </w:rPr>
        <w:t>重要的生物资源，人体生物样本中</w:t>
      </w:r>
      <w:r>
        <w:rPr>
          <w:rFonts w:hint="eastAsia"/>
          <w:szCs w:val="21"/>
        </w:rPr>
        <w:t>环境化学污染物及其代谢物反映了经呼吸道、消化道、皮肤等多种途径进入人体的化学物质总量。对它们</w:t>
      </w:r>
      <w:r>
        <w:rPr>
          <w:szCs w:val="21"/>
        </w:rPr>
        <w:t>的</w:t>
      </w:r>
      <w:r>
        <w:rPr>
          <w:rFonts w:hint="eastAsia"/>
          <w:szCs w:val="21"/>
        </w:rPr>
        <w:t>识别</w:t>
      </w:r>
      <w:r>
        <w:rPr>
          <w:szCs w:val="21"/>
        </w:rPr>
        <w:t>和量化</w:t>
      </w:r>
      <w:r>
        <w:rPr>
          <w:rFonts w:hint="eastAsia"/>
          <w:szCs w:val="21"/>
        </w:rPr>
        <w:t>有助于建立</w:t>
      </w:r>
      <w:r>
        <w:rPr>
          <w:rFonts w:hAnsi="宋体" w:cs="Arial"/>
          <w:color w:val="2E3033"/>
          <w:szCs w:val="21"/>
          <w:shd w:val="clear" w:color="auto" w:fill="FFFFFF"/>
        </w:rPr>
        <w:t>人</w:t>
      </w:r>
      <w:r>
        <w:rPr>
          <w:rFonts w:hint="eastAsia" w:hAnsi="宋体" w:cs="Arial"/>
          <w:color w:val="2E3033"/>
          <w:szCs w:val="21"/>
          <w:shd w:val="clear" w:color="auto" w:fill="FFFFFF"/>
        </w:rPr>
        <w:t>体</w:t>
      </w:r>
      <w:r>
        <w:rPr>
          <w:rFonts w:hAnsi="宋体" w:cs="Arial"/>
          <w:color w:val="2E3033"/>
          <w:szCs w:val="21"/>
          <w:shd w:val="clear" w:color="auto" w:fill="FFFFFF"/>
        </w:rPr>
        <w:t>化学品和毒物</w:t>
      </w:r>
      <w:r>
        <w:rPr>
          <w:rFonts w:hint="eastAsia" w:hAnsi="宋体" w:cs="Arial"/>
          <w:color w:val="2E3033"/>
          <w:szCs w:val="21"/>
          <w:shd w:val="clear" w:color="auto" w:fill="FFFFFF"/>
        </w:rPr>
        <w:t>接触</w:t>
      </w:r>
      <w:r>
        <w:rPr>
          <w:rFonts w:hAnsi="宋体" w:cs="Arial"/>
          <w:color w:val="2E3033"/>
          <w:szCs w:val="21"/>
          <w:shd w:val="clear" w:color="auto" w:fill="FFFFFF"/>
        </w:rPr>
        <w:t>标准</w:t>
      </w:r>
      <w:r>
        <w:rPr>
          <w:rFonts w:hint="eastAsia" w:hAnsi="宋体" w:cs="Arial"/>
          <w:color w:val="2E3033"/>
          <w:szCs w:val="21"/>
          <w:shd w:val="clear" w:color="auto" w:fill="FFFFFF"/>
        </w:rPr>
        <w:t>，</w:t>
      </w:r>
      <w:r>
        <w:rPr>
          <w:rFonts w:hint="eastAsia"/>
        </w:rPr>
        <w:t>对于揭示环境污染物的暴露途径、评估</w:t>
      </w:r>
      <w:r>
        <w:t>人体化学污染物不良效应剂量、认识</w:t>
      </w:r>
      <w:r>
        <w:rPr>
          <w:rFonts w:hint="eastAsia"/>
        </w:rPr>
        <w:t>环境暴露与健康（疾病）风险之间的关系意义重大。农药是一类重要的环境化学污染物，对人体具有暴露隐蔽性大、暴露周期性长、暴露健康风险高等特点。尿中农药及代谢物浓度水平是评估人体受到该类污染物暴露的重要手段。</w:t>
      </w:r>
    </w:p>
    <w:p w14:paraId="1B51A224">
      <w:pPr>
        <w:pStyle w:val="59"/>
        <w:ind w:firstLine="420"/>
      </w:pPr>
      <w:r>
        <w:rPr>
          <w:rFonts w:hint="eastAsia"/>
        </w:rPr>
        <w:t>本</w:t>
      </w:r>
      <w:r>
        <w:t>文件</w:t>
      </w:r>
      <w:r>
        <w:rPr>
          <w:rFonts w:hint="eastAsia"/>
        </w:rPr>
        <w:t>规定了</w:t>
      </w:r>
      <w:r>
        <w:t>人尿中</w:t>
      </w:r>
      <w:r>
        <w:rPr>
          <w:rFonts w:hint="eastAsia"/>
        </w:rPr>
        <w:t>对硝基苯酚（</w:t>
      </w:r>
      <w:r>
        <w:t>PNP</w:t>
      </w:r>
      <w:r>
        <w:rPr>
          <w:rFonts w:hint="eastAsia"/>
        </w:rPr>
        <w:t>），3,5,6-三氯-2-吡啶酚(</w:t>
      </w:r>
      <w:r>
        <w:t>TCPY)</w:t>
      </w:r>
      <w:r>
        <w:rPr>
          <w:rFonts w:hint="eastAsia"/>
        </w:rPr>
        <w:t>，</w:t>
      </w:r>
      <w:r>
        <w:fldChar w:fldCharType="begin"/>
      </w:r>
      <w:r>
        <w:instrText xml:space="preserve"> HYPERLINK "https://baike.so.com/doc/5437870-7117710.html" \t "_blank" </w:instrText>
      </w:r>
      <w:r>
        <w:fldChar w:fldCharType="separate"/>
      </w:r>
      <w:r>
        <w:t>2,4-二氯苯氧乙酸</w:t>
      </w:r>
      <w:r>
        <w:fldChar w:fldCharType="end"/>
      </w:r>
      <w:r>
        <w:rPr>
          <w:rFonts w:hint="eastAsia"/>
        </w:rPr>
        <w:t xml:space="preserve"> (</w:t>
      </w:r>
      <w:r>
        <w:t>2,4-D)</w:t>
      </w:r>
      <w:r>
        <w:rPr>
          <w:rFonts w:hint="eastAsia"/>
        </w:rPr>
        <w:t>，</w:t>
      </w:r>
      <w:r>
        <w:fldChar w:fldCharType="begin"/>
      </w:r>
      <w:r>
        <w:instrText xml:space="preserve"> HYPERLINK "https://www.so.com/link?m=bLNKs%2F3EiZR0vs%2B9bxX6okVtQ8W5rkQcEysXrkcKSB9mNm68VKy%2FBm8JBoHytn8q21ATkjXC1wsfyrb7PqdPx82NlPj5t%2FaChHR0DrqqyM5VhVqI8%2BS2HFXNY9WAdJjz6on0Eyotrrk5m1qI7oWlM%2FDxwamFhcyUzPr%2FNbhMwwAbjLzvopjv4gWQQ1DfBnJCO" \t "_blank" </w:instrText>
      </w:r>
      <w:r>
        <w:fldChar w:fldCharType="separate"/>
      </w:r>
      <w:r>
        <w:t>2,4,5-三氯苯氧乙酸</w:t>
      </w:r>
      <w:r>
        <w:fldChar w:fldCharType="end"/>
      </w:r>
      <w:r>
        <w:rPr>
          <w:rFonts w:hint="eastAsia"/>
        </w:rPr>
        <w:t xml:space="preserve"> (</w:t>
      </w:r>
      <w:r>
        <w:t>2,4,5-T)</w:t>
      </w:r>
      <w:r>
        <w:rPr>
          <w:rFonts w:hint="eastAsia"/>
        </w:rPr>
        <w:t>，3-苯氧基苯甲酸(</w:t>
      </w:r>
      <w:r>
        <w:t>3-PBA),</w:t>
      </w:r>
      <w:r>
        <w:rPr>
          <w:rFonts w:hint="eastAsia"/>
        </w:rPr>
        <w:t xml:space="preserve"> 4-氟-3-苯氧基苯甲酸(</w:t>
      </w:r>
      <w:r>
        <w:t>4F-3PBA),</w:t>
      </w:r>
      <w:r>
        <w:rPr>
          <w:rFonts w:hint="eastAsia"/>
        </w:rPr>
        <w:t>顺式二氯乙烯基二甲基环丙烷羧酸(</w:t>
      </w:r>
      <w:r>
        <w:t>cis-DCCA)</w:t>
      </w:r>
      <w:r>
        <w:rPr>
          <w:rFonts w:hint="eastAsia"/>
        </w:rPr>
        <w:t>，反式二氯乙烯基二甲基环丙烷羧酸(trans</w:t>
      </w:r>
      <w:r>
        <w:t>-DCCA)</w:t>
      </w:r>
      <w:r>
        <w:rPr>
          <w:rFonts w:hint="eastAsia"/>
        </w:rPr>
        <w:t>的液相色谱串联质谱（L</w:t>
      </w:r>
      <w:r>
        <w:t>C-MS/MS</w:t>
      </w:r>
      <w:r>
        <w:rPr>
          <w:rFonts w:hint="eastAsia"/>
        </w:rPr>
        <w:t>）检测方法。</w:t>
      </w:r>
    </w:p>
    <w:p w14:paraId="25C5FFF8">
      <w:pPr>
        <w:pStyle w:val="59"/>
        <w:ind w:firstLine="420"/>
      </w:pPr>
    </w:p>
    <w:p w14:paraId="37F98C1C">
      <w:pPr>
        <w:pStyle w:val="59"/>
        <w:ind w:firstLine="420"/>
        <w:sectPr>
          <w:pgSz w:w="11906" w:h="16838"/>
          <w:pgMar w:top="567" w:right="1134" w:bottom="1134" w:left="1134" w:header="1418" w:footer="1134" w:gutter="284"/>
          <w:pgNumType w:fmt="upperRoman"/>
          <w:cols w:space="425" w:num="1"/>
          <w:formProt w:val="0"/>
          <w:docGrid w:linePitch="312" w:charSpace="0"/>
        </w:sectPr>
      </w:pPr>
    </w:p>
    <w:bookmarkEnd w:id="33"/>
    <w:p w14:paraId="7B80DECB">
      <w:pPr>
        <w:spacing w:line="20" w:lineRule="exact"/>
        <w:jc w:val="center"/>
        <w:rPr>
          <w:rFonts w:ascii="黑体" w:hAnsi="黑体" w:eastAsia="黑体"/>
          <w:sz w:val="32"/>
          <w:szCs w:val="32"/>
        </w:rPr>
      </w:pPr>
      <w:bookmarkStart w:id="34" w:name="BookMark4"/>
    </w:p>
    <w:p w14:paraId="19EFFCAC">
      <w:pPr>
        <w:spacing w:line="20" w:lineRule="exact"/>
        <w:jc w:val="center"/>
        <w:rPr>
          <w:rFonts w:ascii="黑体" w:hAnsi="黑体" w:eastAsia="黑体"/>
          <w:sz w:val="32"/>
          <w:szCs w:val="32"/>
        </w:rPr>
      </w:pPr>
    </w:p>
    <w:sdt>
      <w:sdtPr>
        <w:tag w:val="NEW_STAND_NAME"/>
        <w:id w:val="595910757"/>
        <w:lock w:val="sdtLocked"/>
        <w:placeholder>
          <w:docPart w:val="A78A250DFE3D45AC831280FBB680A412"/>
        </w:placeholder>
      </w:sdtPr>
      <w:sdtContent>
        <w:p w14:paraId="3165F318">
          <w:pPr>
            <w:pStyle w:val="180"/>
            <w:spacing w:before="436" w:beforeLines="182" w:after="2" w:afterLines="1"/>
          </w:pPr>
          <w:bookmarkStart w:id="35" w:name="NEW_STAND_NAME"/>
          <w:r>
            <w:rPr>
              <w:rFonts w:hint="eastAsia"/>
            </w:rPr>
            <w:t>人体</w:t>
          </w:r>
          <w:r>
            <w:t>尿中</w:t>
          </w:r>
          <w:r>
            <w:rPr>
              <w:rFonts w:hint="eastAsia"/>
            </w:rPr>
            <w:t>8种</w:t>
          </w:r>
          <w:r>
            <w:t>农药及代谢物的测定</w:t>
          </w:r>
        </w:p>
        <w:p w14:paraId="3DC57297">
          <w:pPr>
            <w:pStyle w:val="180"/>
            <w:spacing w:before="2" w:beforeLines="1" w:after="680"/>
          </w:pPr>
          <w:r>
            <w:t>液相色谱串联质谱法</w:t>
          </w:r>
        </w:p>
      </w:sdtContent>
    </w:sdt>
    <w:bookmarkEnd w:id="35"/>
    <w:p w14:paraId="5AC9DDA6">
      <w:pPr>
        <w:pStyle w:val="107"/>
        <w:spacing w:before="240" w:after="240"/>
      </w:pPr>
      <w:bookmarkStart w:id="36" w:name="_Toc26648465"/>
      <w:bookmarkStart w:id="37" w:name="_Toc24884211"/>
      <w:bookmarkStart w:id="38" w:name="_Toc76128026"/>
      <w:bookmarkStart w:id="39" w:name="_Toc76128057"/>
      <w:bookmarkStart w:id="40" w:name="_Toc17233333"/>
      <w:bookmarkStart w:id="41" w:name="_Toc26986771"/>
      <w:bookmarkStart w:id="42" w:name="_Toc69120310"/>
      <w:bookmarkStart w:id="43" w:name="_Toc26986530"/>
      <w:bookmarkStart w:id="44" w:name="_Toc26718930"/>
      <w:bookmarkStart w:id="45" w:name="_Toc17233325"/>
      <w:bookmarkStart w:id="46" w:name="_Toc70341295"/>
      <w:bookmarkStart w:id="47" w:name="_Toc201916953"/>
      <w:bookmarkStart w:id="48" w:name="_Toc69122083"/>
      <w:bookmarkStart w:id="49" w:name="_Toc83893125"/>
      <w:bookmarkStart w:id="50" w:name="_Toc69122066"/>
      <w:bookmarkStart w:id="51" w:name="_Toc83893095"/>
      <w:bookmarkStart w:id="52" w:name="_Toc24884218"/>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Start w:id="53" w:name="_Toc17233326"/>
      <w:bookmarkStart w:id="54" w:name="_Toc17233334"/>
      <w:bookmarkStart w:id="55" w:name="_Toc24884212"/>
      <w:bookmarkStart w:id="56" w:name="_Toc26648466"/>
      <w:bookmarkStart w:id="57" w:name="_Toc24884219"/>
    </w:p>
    <w:p w14:paraId="3AE7DEB1">
      <w:pPr>
        <w:pStyle w:val="59"/>
        <w:ind w:firstLine="420"/>
      </w:pPr>
      <w:bookmarkStart w:id="58" w:name="OLE_LINK1"/>
      <w:bookmarkStart w:id="59" w:name="_Toc76128027"/>
      <w:bookmarkStart w:id="60" w:name="_Toc26986772"/>
      <w:bookmarkStart w:id="61" w:name="_Toc76128058"/>
      <w:bookmarkStart w:id="62" w:name="_Toc70341296"/>
      <w:bookmarkStart w:id="63" w:name="_Toc83893096"/>
      <w:bookmarkStart w:id="64" w:name="_Toc26718931"/>
      <w:bookmarkStart w:id="65" w:name="_Toc83893126"/>
      <w:bookmarkStart w:id="66" w:name="_Toc69122084"/>
      <w:bookmarkStart w:id="67" w:name="_Toc26986531"/>
      <w:bookmarkStart w:id="68" w:name="_Toc69122067"/>
      <w:bookmarkStart w:id="69" w:name="_Toc69120311"/>
      <w:r>
        <w:t>本标准规定了人</w:t>
      </w:r>
      <w:r>
        <w:rPr>
          <w:rFonts w:hint="eastAsia"/>
        </w:rPr>
        <w:t>体</w:t>
      </w:r>
      <w:r>
        <w:t>尿</w:t>
      </w:r>
      <w:r>
        <w:rPr>
          <w:rFonts w:hint="eastAsia"/>
        </w:rPr>
        <w:t>液</w:t>
      </w:r>
      <w:r>
        <w:t>中</w:t>
      </w:r>
      <w:r>
        <w:rPr>
          <w:rFonts w:hint="eastAsia"/>
        </w:rPr>
        <w:t>对硝基苯酚（</w:t>
      </w:r>
      <w:r>
        <w:t>PNP</w:t>
      </w:r>
      <w:r>
        <w:rPr>
          <w:rFonts w:hint="eastAsia"/>
        </w:rPr>
        <w:t>），3,5,6-三氯-2-吡啶酚(</w:t>
      </w:r>
      <w:r>
        <w:t>TCPY)</w:t>
      </w:r>
      <w:r>
        <w:rPr>
          <w:rFonts w:hint="eastAsia"/>
        </w:rPr>
        <w:t>，</w:t>
      </w:r>
      <w:r>
        <w:fldChar w:fldCharType="begin"/>
      </w:r>
      <w:r>
        <w:instrText xml:space="preserve"> HYPERLINK "https://baike.so.com/doc/5437870-7117710.html" \t "_blank" </w:instrText>
      </w:r>
      <w:r>
        <w:fldChar w:fldCharType="separate"/>
      </w:r>
      <w:r>
        <w:t>2,4-二氯苯氧乙酸</w:t>
      </w:r>
      <w:r>
        <w:fldChar w:fldCharType="end"/>
      </w:r>
      <w:r>
        <w:rPr>
          <w:rFonts w:hint="eastAsia"/>
        </w:rPr>
        <w:t xml:space="preserve"> (</w:t>
      </w:r>
      <w:r>
        <w:t>2,4-D)</w:t>
      </w:r>
      <w:r>
        <w:rPr>
          <w:rFonts w:hint="eastAsia"/>
        </w:rPr>
        <w:t>，</w:t>
      </w:r>
      <w:r>
        <w:fldChar w:fldCharType="begin"/>
      </w:r>
      <w:r>
        <w:instrText xml:space="preserve"> HYPERLINK "https://www.so.com/link?m=bLNKs%2F3EiZR0vs%2B9bxX6okVtQ8W5rkQcEysXrkcKSB9mNm68VKy%2FBm8JBoHytn8q21ATkjXC1wsfyrb7PqdPx82NlPj5t%2FaChHR0DrqqyM5VhVqI8%2BS2HFXNY9WAdJjz6on0Eyotrrk5m1qI7oWlM%2FDxwamFhcyUzPr%2FNbhMwwAbjLzvopjv4gWQQ1DfBnJCO" \t "_blank" </w:instrText>
      </w:r>
      <w:r>
        <w:fldChar w:fldCharType="separate"/>
      </w:r>
      <w:r>
        <w:t>2,4,5-三氯苯氧乙酸</w:t>
      </w:r>
      <w:r>
        <w:fldChar w:fldCharType="end"/>
      </w:r>
      <w:r>
        <w:rPr>
          <w:rFonts w:hint="eastAsia"/>
        </w:rPr>
        <w:t xml:space="preserve"> (</w:t>
      </w:r>
      <w:r>
        <w:t>2,4,5-T)</w:t>
      </w:r>
      <w:r>
        <w:rPr>
          <w:rFonts w:hint="eastAsia"/>
        </w:rPr>
        <w:t>，3-苯氧基苯甲酸(</w:t>
      </w:r>
      <w:r>
        <w:t>3-PBA),</w:t>
      </w:r>
      <w:r>
        <w:rPr>
          <w:rFonts w:hint="eastAsia"/>
        </w:rPr>
        <w:t xml:space="preserve"> 4-氟-3-苯氧基苯甲酸(</w:t>
      </w:r>
      <w:r>
        <w:t>4F-3PBA),</w:t>
      </w:r>
      <w:r>
        <w:rPr>
          <w:rFonts w:hint="eastAsia"/>
        </w:rPr>
        <w:t>顺式二氯乙烯基二甲基环丙烷羧酸(</w:t>
      </w:r>
      <w:r>
        <w:t>cis-DCCA)</w:t>
      </w:r>
      <w:r>
        <w:rPr>
          <w:rFonts w:hint="eastAsia"/>
        </w:rPr>
        <w:t>，反式二氯乙烯基二甲基环丙烷羧酸(trans</w:t>
      </w:r>
      <w:r>
        <w:t>-DCCA)</w:t>
      </w:r>
      <w:r>
        <w:rPr>
          <w:rFonts w:hint="eastAsia"/>
        </w:rPr>
        <w:t>的液相色谱串联质谱（L</w:t>
      </w:r>
      <w:r>
        <w:t>C-MS/MS</w:t>
      </w:r>
      <w:r>
        <w:rPr>
          <w:rFonts w:hint="eastAsia"/>
        </w:rPr>
        <w:t>）检测方法。</w:t>
      </w:r>
    </w:p>
    <w:bookmarkEnd w:id="58"/>
    <w:p w14:paraId="6C570FBA">
      <w:pPr>
        <w:pStyle w:val="59"/>
        <w:ind w:firstLine="420"/>
      </w:pPr>
      <w:r>
        <w:t>本标准适用于人</w:t>
      </w:r>
      <w:r>
        <w:rPr>
          <w:rFonts w:hint="eastAsia"/>
        </w:rPr>
        <w:t>体</w:t>
      </w:r>
      <w:r>
        <w:t>尿</w:t>
      </w:r>
      <w:r>
        <w:rPr>
          <w:rFonts w:hint="eastAsia"/>
        </w:rPr>
        <w:t>液</w:t>
      </w:r>
      <w:r>
        <w:t>中</w:t>
      </w:r>
      <w:r>
        <w:rPr>
          <w:rFonts w:hint="eastAsia"/>
        </w:rPr>
        <w:t>2种农药原型（</w:t>
      </w:r>
      <w:r>
        <w:fldChar w:fldCharType="begin"/>
      </w:r>
      <w:r>
        <w:instrText xml:space="preserve"> HYPERLINK "https://baike.so.com/doc/5437870-7117710.html" \t "_blank" </w:instrText>
      </w:r>
      <w:r>
        <w:fldChar w:fldCharType="separate"/>
      </w:r>
      <w:r>
        <w:rPr>
          <w:rStyle w:val="34"/>
        </w:rPr>
        <w:t>2,4-</w:t>
      </w:r>
      <w:r>
        <w:rPr>
          <w:rStyle w:val="34"/>
          <w:rFonts w:hint="eastAsia"/>
        </w:rPr>
        <w:t>二氯苯氧乙酸</w:t>
      </w:r>
      <w:r>
        <w:rPr>
          <w:rStyle w:val="34"/>
          <w:rFonts w:hint="eastAsia"/>
        </w:rPr>
        <w:fldChar w:fldCharType="end"/>
      </w:r>
      <w:r>
        <w:rPr>
          <w:rFonts w:hint="eastAsia"/>
        </w:rPr>
        <w:t>，</w:t>
      </w:r>
      <w:r>
        <w:fldChar w:fldCharType="begin"/>
      </w:r>
      <w:r>
        <w:instrText xml:space="preserve"> HYPERLINK "https://www.so.com/link?m=bLNKs%2F3EiZR0vs%2B9bxX6okVtQ8W5rkQcEysXrkcKSB9mNm68VKy%2FBm8JBoHytn8q21ATkjXC1wsfyrb7PqdPx82NlPj5t%2FaChHR0DrqqyM5VhVqI8%2BS2HFXNY9WAdJjz6on0Eyotrrk5m1qI7oWlM%2FDxwamFhcyUzPr%2FNbhMwwAbjLzvopjv4gWQQ1DfBnJCO" \t "_blank" </w:instrText>
      </w:r>
      <w:r>
        <w:fldChar w:fldCharType="separate"/>
      </w:r>
      <w:r>
        <w:rPr>
          <w:rStyle w:val="34"/>
        </w:rPr>
        <w:t>2,4,5-</w:t>
      </w:r>
      <w:r>
        <w:rPr>
          <w:rStyle w:val="34"/>
          <w:rFonts w:hint="eastAsia"/>
        </w:rPr>
        <w:t>三氯苯氧乙酸</w:t>
      </w:r>
      <w:r>
        <w:rPr>
          <w:rStyle w:val="34"/>
          <w:rFonts w:hint="eastAsia"/>
        </w:rPr>
        <w:fldChar w:fldCharType="end"/>
      </w:r>
      <w:r>
        <w:rPr>
          <w:rFonts w:hint="eastAsia"/>
        </w:rPr>
        <w:t>）和6种农药代谢物（硝基苯酚，</w:t>
      </w:r>
      <w:r>
        <w:t>3,5,6-</w:t>
      </w:r>
      <w:r>
        <w:rPr>
          <w:rFonts w:hint="eastAsia"/>
        </w:rPr>
        <w:t>三氯</w:t>
      </w:r>
      <w:r>
        <w:t>-2-</w:t>
      </w:r>
      <w:r>
        <w:rPr>
          <w:rFonts w:hint="eastAsia"/>
        </w:rPr>
        <w:t>吡啶酚，</w:t>
      </w:r>
      <w:r>
        <w:t>3-</w:t>
      </w:r>
      <w:r>
        <w:rPr>
          <w:rFonts w:hint="eastAsia"/>
        </w:rPr>
        <w:t>苯氧基苯甲酸，</w:t>
      </w:r>
      <w:r>
        <w:t>4-</w:t>
      </w:r>
      <w:r>
        <w:rPr>
          <w:rFonts w:hint="eastAsia"/>
        </w:rPr>
        <w:t>氟</w:t>
      </w:r>
      <w:r>
        <w:t>-3-</w:t>
      </w:r>
      <w:r>
        <w:rPr>
          <w:rFonts w:hint="eastAsia"/>
        </w:rPr>
        <w:t>苯氧基苯甲酸，顺式二氯乙烯基二甲基环丙烷羧酸，反式二氯乙烯基二甲基环丙烷羧酸）</w:t>
      </w:r>
      <w:r>
        <w:t>的测定</w:t>
      </w:r>
      <w:r>
        <w:rPr>
          <w:rFonts w:hint="eastAsia"/>
        </w:rPr>
        <w:t>。</w:t>
      </w:r>
    </w:p>
    <w:p w14:paraId="777A5003">
      <w:pPr>
        <w:pStyle w:val="107"/>
        <w:spacing w:before="240" w:after="240"/>
        <w:rPr>
          <w:color w:val="000000" w:themeColor="text1"/>
          <w14:textFill>
            <w14:solidFill>
              <w14:schemeClr w14:val="tx1"/>
            </w14:solidFill>
          </w14:textFill>
        </w:rPr>
      </w:pPr>
      <w:bookmarkStart w:id="70" w:name="_Toc201916954"/>
      <w:r>
        <w:rPr>
          <w:rFonts w:hint="eastAsia"/>
          <w:color w:val="000000" w:themeColor="text1"/>
          <w14:textFill>
            <w14:solidFill>
              <w14:schemeClr w14:val="tx1"/>
            </w14:solidFill>
          </w14:textFill>
        </w:rPr>
        <w:t>规范性引用文件</w:t>
      </w:r>
      <w:bookmarkEnd w:id="53"/>
      <w:bookmarkEnd w:id="54"/>
      <w:bookmarkEnd w:id="55"/>
      <w:bookmarkEnd w:id="56"/>
      <w:bookmarkEnd w:id="57"/>
      <w:bookmarkEnd w:id="59"/>
      <w:bookmarkEnd w:id="60"/>
      <w:bookmarkEnd w:id="61"/>
      <w:bookmarkEnd w:id="62"/>
      <w:bookmarkEnd w:id="63"/>
      <w:bookmarkEnd w:id="64"/>
      <w:bookmarkEnd w:id="65"/>
      <w:bookmarkEnd w:id="66"/>
      <w:bookmarkEnd w:id="67"/>
      <w:bookmarkEnd w:id="68"/>
      <w:bookmarkEnd w:id="69"/>
      <w:bookmarkEnd w:id="70"/>
    </w:p>
    <w:sdt>
      <w:sdtPr>
        <w:rPr>
          <w:rFonts w:hint="eastAsia"/>
        </w:rPr>
        <w:id w:val="715848253"/>
        <w:placeholder>
          <w:docPart w:val="651F83CFF66B46E1BDC651F10C98D37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A5C8D56">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A6D4AA">
      <w:pPr>
        <w:pStyle w:val="59"/>
        <w:ind w:firstLine="420"/>
        <w:rPr>
          <w:rFonts w:hAnsi="宋体"/>
          <w:szCs w:val="21"/>
        </w:rPr>
      </w:pPr>
      <w:r>
        <w:rPr>
          <w:rFonts w:ascii="Times New Roman"/>
        </w:rPr>
        <w:t xml:space="preserve">GB/T </w:t>
      </w:r>
      <w:r>
        <w:rPr>
          <w:rFonts w:hAnsi="宋体"/>
          <w:szCs w:val="21"/>
        </w:rPr>
        <w:t>6682 分析实验室用水规格和试验方法</w:t>
      </w:r>
    </w:p>
    <w:p w14:paraId="2FBDD1EC">
      <w:pPr>
        <w:pStyle w:val="59"/>
        <w:ind w:firstLine="420"/>
        <w:rPr>
          <w:rFonts w:hAnsi="宋体"/>
          <w:szCs w:val="21"/>
        </w:rPr>
      </w:pPr>
      <w:r>
        <w:rPr>
          <w:rFonts w:hint="eastAsia" w:ascii="Times New Roman"/>
        </w:rPr>
        <w:t>GB/T</w:t>
      </w:r>
      <w:r>
        <w:rPr>
          <w:rFonts w:hint="eastAsia" w:ascii="仿宋_GB2312" w:hAnsi="仿宋" w:eastAsia="仿宋_GB2312"/>
        </w:rPr>
        <w:t xml:space="preserve"> </w:t>
      </w:r>
      <w:r>
        <w:rPr>
          <w:rFonts w:hint="eastAsia" w:hAnsi="宋体"/>
          <w:szCs w:val="21"/>
        </w:rPr>
        <w:t>15603 常用化学危险品贮存通则</w:t>
      </w:r>
    </w:p>
    <w:p w14:paraId="0A394EFC">
      <w:pPr>
        <w:pStyle w:val="59"/>
        <w:ind w:firstLine="420"/>
        <w:rPr>
          <w:rFonts w:hAnsi="宋体"/>
        </w:rPr>
      </w:pPr>
      <w:r>
        <w:rPr>
          <w:rFonts w:ascii="Times New Roman"/>
        </w:rPr>
        <w:t>GB/T</w:t>
      </w:r>
      <w:r>
        <w:rPr>
          <w:rFonts w:hAnsi="宋体"/>
        </w:rPr>
        <w:t xml:space="preserve"> 38735 人类尿液样本采集与处理</w:t>
      </w:r>
    </w:p>
    <w:p w14:paraId="6F701C2A">
      <w:pPr>
        <w:pStyle w:val="107"/>
        <w:spacing w:before="240" w:after="240"/>
      </w:pPr>
      <w:bookmarkStart w:id="71" w:name="_Toc69122069"/>
      <w:bookmarkStart w:id="72" w:name="_Toc76128060"/>
      <w:bookmarkStart w:id="73" w:name="_Toc76128029"/>
      <w:bookmarkStart w:id="74" w:name="_Toc69122086"/>
      <w:bookmarkStart w:id="75" w:name="_Toc70341298"/>
      <w:bookmarkStart w:id="76" w:name="_Toc83893098"/>
      <w:bookmarkStart w:id="77" w:name="_Toc201916955"/>
      <w:bookmarkStart w:id="78" w:name="_Toc83893128"/>
      <w:r>
        <w:t>术语和定义</w:t>
      </w:r>
    </w:p>
    <w:p w14:paraId="2993D21A">
      <w:pPr>
        <w:pStyle w:val="59"/>
        <w:ind w:firstLine="420"/>
      </w:pPr>
      <w:r>
        <w:t>本文件没有需要界定的术语和定义。</w:t>
      </w:r>
    </w:p>
    <w:p w14:paraId="28C2A22D">
      <w:pPr>
        <w:pStyle w:val="107"/>
        <w:spacing w:before="240" w:after="240"/>
      </w:pPr>
      <w:r>
        <w:rPr>
          <w:rFonts w:hint="eastAsia"/>
        </w:rPr>
        <w:t>原理</w:t>
      </w:r>
      <w:bookmarkEnd w:id="71"/>
      <w:bookmarkEnd w:id="72"/>
      <w:bookmarkEnd w:id="73"/>
      <w:bookmarkEnd w:id="74"/>
      <w:bookmarkEnd w:id="75"/>
      <w:bookmarkEnd w:id="76"/>
      <w:bookmarkEnd w:id="77"/>
      <w:bookmarkEnd w:id="78"/>
    </w:p>
    <w:p w14:paraId="4DD466DF">
      <w:pPr>
        <w:pStyle w:val="59"/>
        <w:ind w:firstLine="420"/>
        <w:rPr>
          <w:rFonts w:hAnsi="宋体"/>
          <w:szCs w:val="21"/>
        </w:rPr>
      </w:pPr>
      <w:r>
        <w:rPr>
          <w:rFonts w:hAnsi="宋体"/>
          <w:szCs w:val="21"/>
        </w:rPr>
        <w:t>尿液</w:t>
      </w:r>
      <w:r>
        <w:rPr>
          <w:rFonts w:hint="eastAsia" w:hAnsi="宋体"/>
          <w:szCs w:val="21"/>
        </w:rPr>
        <w:t>样本</w:t>
      </w:r>
      <w:r>
        <w:rPr>
          <w:rFonts w:hAnsi="宋体"/>
          <w:szCs w:val="21"/>
        </w:rPr>
        <w:t>中的特异性农药原</w:t>
      </w:r>
      <w:r>
        <w:rPr>
          <w:rFonts w:hint="eastAsia" w:hAnsi="宋体"/>
          <w:szCs w:val="21"/>
        </w:rPr>
        <w:t>型</w:t>
      </w:r>
      <w:r>
        <w:rPr>
          <w:rFonts w:hAnsi="宋体"/>
          <w:szCs w:val="21"/>
        </w:rPr>
        <w:t>及农药代谢物经β-葡萄糖醛酸酶水解后，</w:t>
      </w:r>
      <w:r>
        <w:rPr>
          <w:rFonts w:hint="eastAsia" w:hAnsi="宋体"/>
          <w:szCs w:val="21"/>
        </w:rPr>
        <w:t>采用亲水亲脂共平衡聚合物基体固相萃取柱富集和净化</w:t>
      </w:r>
      <w:r>
        <w:rPr>
          <w:rFonts w:hAnsi="宋体"/>
          <w:szCs w:val="21"/>
        </w:rPr>
        <w:t>，液相色谱串联质谱负离子模式测定，</w:t>
      </w:r>
      <w:r>
        <w:rPr>
          <w:rFonts w:hint="eastAsia" w:hAnsi="宋体"/>
          <w:szCs w:val="21"/>
        </w:rPr>
        <w:t>以目标分析物的保留时间和离子丰度比定性，稳定</w:t>
      </w:r>
      <w:r>
        <w:rPr>
          <w:rFonts w:hAnsi="宋体"/>
          <w:szCs w:val="21"/>
        </w:rPr>
        <w:t>内标法定量。</w:t>
      </w:r>
    </w:p>
    <w:p w14:paraId="687B60A3">
      <w:pPr>
        <w:pStyle w:val="107"/>
        <w:spacing w:before="240" w:after="240"/>
      </w:pPr>
      <w:bookmarkStart w:id="79" w:name="_Toc201916956"/>
      <w:bookmarkStart w:id="80" w:name="_Toc69122070"/>
      <w:bookmarkStart w:id="81" w:name="_Toc69122087"/>
      <w:bookmarkStart w:id="82" w:name="_Toc83893099"/>
      <w:bookmarkStart w:id="83" w:name="_Toc83893129"/>
      <w:bookmarkStart w:id="84" w:name="_Toc76128030"/>
      <w:bookmarkStart w:id="85" w:name="_Toc70341299"/>
      <w:bookmarkStart w:id="86" w:name="_Toc76128061"/>
      <w:r>
        <w:rPr>
          <w:rFonts w:hint="eastAsia"/>
        </w:rPr>
        <w:t>试剂和材料</w:t>
      </w:r>
      <w:bookmarkEnd w:id="79"/>
      <w:bookmarkEnd w:id="80"/>
      <w:bookmarkEnd w:id="81"/>
      <w:bookmarkEnd w:id="82"/>
      <w:bookmarkEnd w:id="83"/>
      <w:bookmarkEnd w:id="84"/>
      <w:bookmarkEnd w:id="85"/>
      <w:bookmarkEnd w:id="86"/>
    </w:p>
    <w:p w14:paraId="60372F12">
      <w:pPr>
        <w:pStyle w:val="165"/>
        <w:numPr>
          <w:ilvl w:val="0"/>
          <w:numId w:val="0"/>
        </w:numPr>
        <w:ind w:firstLine="420" w:firstLineChars="200"/>
      </w:pPr>
      <w:bookmarkStart w:id="87" w:name="OLE_LINK3"/>
      <w:r>
        <w:t>除非有特殊说明，所有试剂均为色谱纯</w:t>
      </w:r>
      <w:r>
        <w:rPr>
          <w:rFonts w:hint="eastAsia"/>
        </w:rPr>
        <w:t>；</w:t>
      </w:r>
      <w:r>
        <w:t>水</w:t>
      </w:r>
      <w:r>
        <w:rPr>
          <w:rFonts w:ascii="Times New Roman"/>
        </w:rPr>
        <w:t>为GB/T</w:t>
      </w:r>
      <w:r>
        <w:t xml:space="preserve"> 6682规定的一级水 </w:t>
      </w:r>
    </w:p>
    <w:bookmarkEnd w:id="87"/>
    <w:p w14:paraId="4015A7EC">
      <w:pPr>
        <w:pStyle w:val="165"/>
        <w:ind w:left="0"/>
        <w:rPr>
          <w:rFonts w:hAnsi="宋体"/>
        </w:rPr>
      </w:pPr>
      <w:r>
        <w:rPr>
          <w:rFonts w:hAnsi="宋体"/>
          <w:szCs w:val="21"/>
        </w:rPr>
        <w:t>甲醇（</w:t>
      </w:r>
      <w:r>
        <w:rPr>
          <w:rFonts w:ascii="Times New Roman"/>
          <w:szCs w:val="21"/>
        </w:rPr>
        <w:t>CH</w:t>
      </w:r>
      <w:r>
        <w:rPr>
          <w:rFonts w:ascii="Times New Roman"/>
          <w:szCs w:val="21"/>
          <w:vertAlign w:val="subscript"/>
        </w:rPr>
        <w:t>3</w:t>
      </w:r>
      <w:r>
        <w:rPr>
          <w:rFonts w:ascii="Times New Roman"/>
          <w:szCs w:val="21"/>
        </w:rPr>
        <w:t>OH</w:t>
      </w:r>
      <w:r>
        <w:rPr>
          <w:rFonts w:hAnsi="宋体"/>
          <w:szCs w:val="21"/>
        </w:rPr>
        <w:t>）。</w:t>
      </w:r>
    </w:p>
    <w:p w14:paraId="19D7CF2B">
      <w:pPr>
        <w:pStyle w:val="165"/>
        <w:ind w:left="0"/>
        <w:rPr>
          <w:rFonts w:hAnsi="宋体"/>
        </w:rPr>
      </w:pPr>
      <w:r>
        <w:rPr>
          <w:rFonts w:hint="eastAsia" w:hAnsi="宋体"/>
        </w:rPr>
        <w:t>乙腈（</w:t>
      </w:r>
      <w:r>
        <w:rPr>
          <w:rFonts w:ascii="Times New Roman"/>
        </w:rPr>
        <w:t>CH</w:t>
      </w:r>
      <w:r>
        <w:rPr>
          <w:rFonts w:ascii="Times New Roman"/>
          <w:vertAlign w:val="subscript"/>
        </w:rPr>
        <w:t>3</w:t>
      </w:r>
      <w:r>
        <w:rPr>
          <w:rFonts w:ascii="Times New Roman"/>
        </w:rPr>
        <w:t>CN</w:t>
      </w:r>
      <w:r>
        <w:rPr>
          <w:rFonts w:hAnsi="宋体"/>
        </w:rPr>
        <w:t>）</w:t>
      </w:r>
      <w:r>
        <w:rPr>
          <w:rFonts w:hint="eastAsia" w:hAnsi="宋体"/>
        </w:rPr>
        <w:t>。</w:t>
      </w:r>
    </w:p>
    <w:p w14:paraId="07337493">
      <w:pPr>
        <w:pStyle w:val="165"/>
        <w:ind w:left="0"/>
        <w:rPr>
          <w:rFonts w:hAnsi="宋体"/>
        </w:rPr>
      </w:pPr>
      <w:r>
        <w:rPr>
          <w:rFonts w:hAnsi="宋体"/>
        </w:rPr>
        <w:t>乙酸</w:t>
      </w:r>
      <w:r>
        <w:rPr>
          <w:rFonts w:hint="eastAsia" w:hAnsi="宋体"/>
        </w:rPr>
        <w:t>（</w:t>
      </w:r>
      <w:r>
        <w:rPr>
          <w:rFonts w:ascii="Times New Roman"/>
        </w:rPr>
        <w:t>CH</w:t>
      </w:r>
      <w:r>
        <w:rPr>
          <w:rFonts w:ascii="Times New Roman"/>
          <w:vertAlign w:val="subscript"/>
        </w:rPr>
        <w:t>3</w:t>
      </w:r>
      <w:r>
        <w:rPr>
          <w:rFonts w:ascii="Times New Roman"/>
        </w:rPr>
        <w:t>COOH</w:t>
      </w:r>
      <w:r>
        <w:rPr>
          <w:rFonts w:hint="eastAsia" w:hAnsi="宋体"/>
        </w:rPr>
        <w:t>）。</w:t>
      </w:r>
    </w:p>
    <w:p w14:paraId="5C0BD79C">
      <w:pPr>
        <w:pStyle w:val="165"/>
        <w:ind w:left="0"/>
        <w:rPr>
          <w:rFonts w:hAnsi="宋体"/>
        </w:rPr>
      </w:pPr>
      <w:r>
        <w:rPr>
          <w:rFonts w:hint="eastAsia" w:hAnsi="宋体"/>
        </w:rPr>
        <w:t>甲酸（</w:t>
      </w:r>
      <w:r>
        <w:rPr>
          <w:rFonts w:ascii="Times New Roman"/>
        </w:rPr>
        <w:t>HCOOH</w:t>
      </w:r>
      <w:r>
        <w:rPr>
          <w:rFonts w:hint="eastAsia" w:hAnsi="宋体"/>
        </w:rPr>
        <w:t>）。</w:t>
      </w:r>
    </w:p>
    <w:p w14:paraId="44E38924">
      <w:pPr>
        <w:pStyle w:val="165"/>
        <w:ind w:left="0"/>
        <w:rPr>
          <w:rFonts w:hAnsi="宋体"/>
        </w:rPr>
      </w:pPr>
      <w:r>
        <w:rPr>
          <w:rFonts w:ascii="Times New Roman"/>
          <w:i/>
          <w:szCs w:val="21"/>
        </w:rPr>
        <w:t>β</w:t>
      </w:r>
      <w:r>
        <w:rPr>
          <w:rFonts w:hAnsi="宋体"/>
          <w:szCs w:val="21"/>
        </w:rPr>
        <w:t>-葡萄糖醛酸酶：来源于大肠杆菌（</w:t>
      </w:r>
      <w:r>
        <w:rPr>
          <w:rFonts w:ascii="Times New Roman"/>
          <w:i/>
          <w:szCs w:val="21"/>
        </w:rPr>
        <w:t>E.coli</w:t>
      </w:r>
      <w:r>
        <w:rPr>
          <w:rFonts w:hAnsi="宋体"/>
          <w:szCs w:val="21"/>
        </w:rPr>
        <w:t>）或罗曼蜗牛(</w:t>
      </w:r>
      <w:r>
        <w:rPr>
          <w:rFonts w:ascii="Times New Roman"/>
          <w:i/>
          <w:szCs w:val="21"/>
        </w:rPr>
        <w:t>Helix pomatia</w:t>
      </w:r>
      <w:r>
        <w:rPr>
          <w:rFonts w:hAnsi="宋体"/>
          <w:szCs w:val="21"/>
        </w:rPr>
        <w:t>)，活</w:t>
      </w:r>
      <w:r>
        <w:rPr>
          <w:rFonts w:hint="eastAsia" w:hAnsi="宋体"/>
          <w:szCs w:val="21"/>
        </w:rPr>
        <w:t>性</w:t>
      </w:r>
      <w:r>
        <w:rPr>
          <w:rFonts w:hint="eastAsia" w:ascii="Times New Roman"/>
        </w:rPr>
        <w:t>≥</w:t>
      </w:r>
      <w:r>
        <w:rPr>
          <w:rFonts w:hAnsi="宋体"/>
          <w:szCs w:val="21"/>
        </w:rPr>
        <w:t xml:space="preserve">85 000 </w:t>
      </w:r>
      <w:r>
        <w:rPr>
          <w:rFonts w:ascii="Times New Roman"/>
          <w:szCs w:val="21"/>
        </w:rPr>
        <w:t>U/</w:t>
      </w:r>
      <w:r>
        <w:rPr>
          <w:rFonts w:hint="eastAsia" w:ascii="Times New Roman"/>
          <w:szCs w:val="21"/>
        </w:rPr>
        <w:t>m</w:t>
      </w:r>
      <w:r>
        <w:rPr>
          <w:rFonts w:ascii="Times New Roman"/>
          <w:szCs w:val="21"/>
        </w:rPr>
        <w:t>L</w:t>
      </w:r>
      <w:r>
        <w:rPr>
          <w:rFonts w:hAnsi="宋体"/>
          <w:szCs w:val="21"/>
        </w:rPr>
        <w:t>。</w:t>
      </w:r>
    </w:p>
    <w:p w14:paraId="7EBCC3CB">
      <w:pPr>
        <w:pStyle w:val="165"/>
        <w:ind w:left="0"/>
        <w:rPr>
          <w:rFonts w:hAnsi="宋体"/>
          <w:szCs w:val="21"/>
        </w:rPr>
      </w:pPr>
      <w:r>
        <w:rPr>
          <w:rFonts w:hint="eastAsia" w:hAnsi="宋体"/>
          <w:szCs w:val="21"/>
        </w:rPr>
        <w:t>乙酸钠（</w:t>
      </w:r>
      <w:r>
        <w:rPr>
          <w:rFonts w:hint="eastAsia" w:ascii="仿宋_GB2312" w:hAnsi="仿宋" w:eastAsia="仿宋_GB2312"/>
        </w:rPr>
        <w:t>CH3COONa</w:t>
      </w:r>
      <w:r>
        <w:rPr>
          <w:rFonts w:hint="eastAsia" w:hAnsi="宋体"/>
          <w:szCs w:val="21"/>
        </w:rPr>
        <w:t>）。</w:t>
      </w:r>
    </w:p>
    <w:p w14:paraId="234E20C1">
      <w:pPr>
        <w:pStyle w:val="165"/>
        <w:ind w:left="0"/>
        <w:rPr>
          <w:rFonts w:hAnsi="宋体"/>
          <w:szCs w:val="21"/>
        </w:rPr>
      </w:pPr>
      <w:r>
        <w:rPr>
          <w:rFonts w:hint="eastAsia" w:hAnsi="宋体"/>
          <w:szCs w:val="21"/>
        </w:rPr>
        <w:t>固相萃取柱：亲水亲脂共平衡聚合物基体(HLB)固相萃取柱</w:t>
      </w:r>
      <w:r>
        <w:rPr>
          <w:rFonts w:ascii="Times New Roman"/>
          <w:szCs w:val="21"/>
        </w:rPr>
        <w:t>（30</w:t>
      </w:r>
      <w:r>
        <w:rPr>
          <w:rFonts w:hint="eastAsia" w:ascii="Times New Roman"/>
          <w:szCs w:val="21"/>
        </w:rPr>
        <w:t xml:space="preserve"> m</w:t>
      </w:r>
      <w:r>
        <w:rPr>
          <w:rFonts w:ascii="Times New Roman"/>
          <w:szCs w:val="21"/>
        </w:rPr>
        <w:t>g，3</w:t>
      </w:r>
      <w:r>
        <w:rPr>
          <w:rFonts w:hint="eastAsia" w:ascii="Times New Roman"/>
          <w:szCs w:val="21"/>
        </w:rPr>
        <w:t xml:space="preserve"> </w:t>
      </w:r>
      <w:r>
        <w:rPr>
          <w:rFonts w:ascii="Times New Roman"/>
          <w:szCs w:val="21"/>
        </w:rPr>
        <w:t>mL，</w:t>
      </w:r>
      <w:r>
        <w:rPr>
          <w:rFonts w:hint="eastAsia" w:ascii="Times New Roman"/>
          <w:szCs w:val="21"/>
        </w:rPr>
        <w:t>3</w:t>
      </w:r>
      <w:r>
        <w:rPr>
          <w:rFonts w:ascii="Times New Roman"/>
          <w:szCs w:val="21"/>
        </w:rPr>
        <w:t>0</w:t>
      </w:r>
      <w:r>
        <w:rPr>
          <w:rFonts w:hint="eastAsia" w:ascii="Times New Roman"/>
          <w:szCs w:val="21"/>
        </w:rPr>
        <w:t xml:space="preserve"> </w:t>
      </w:r>
      <w:r>
        <w:rPr>
          <w:rFonts w:ascii="Times New Roman"/>
          <w:szCs w:val="21"/>
        </w:rPr>
        <w:t>μm）</w:t>
      </w:r>
      <w:r>
        <w:rPr>
          <w:rFonts w:hint="eastAsia" w:ascii="Times New Roman"/>
          <w:szCs w:val="21"/>
        </w:rPr>
        <w:t>。</w:t>
      </w:r>
    </w:p>
    <w:p w14:paraId="5ACBF19F">
      <w:pPr>
        <w:pStyle w:val="165"/>
        <w:ind w:left="0"/>
        <w:rPr>
          <w:rFonts w:hAnsi="宋体"/>
          <w:szCs w:val="21"/>
        </w:rPr>
      </w:pPr>
      <w:r>
        <w:rPr>
          <w:rFonts w:hint="eastAsia" w:hAnsi="宋体"/>
          <w:szCs w:val="21"/>
        </w:rPr>
        <w:t xml:space="preserve">滤膜：0.22 </w:t>
      </w:r>
      <w:r>
        <w:rPr>
          <w:rFonts w:ascii="Times New Roman"/>
          <w:szCs w:val="21"/>
        </w:rPr>
        <w:t>μ</w:t>
      </w:r>
      <w:r>
        <w:rPr>
          <w:rFonts w:hint="eastAsia" w:hAnsi="宋体"/>
          <w:szCs w:val="21"/>
        </w:rPr>
        <w:t>m，亲水性聚丙烯材质。</w:t>
      </w:r>
    </w:p>
    <w:p w14:paraId="7B352D61">
      <w:pPr>
        <w:pStyle w:val="165"/>
        <w:ind w:left="0"/>
        <w:rPr>
          <w:rFonts w:ascii="Times New Roman"/>
        </w:rPr>
      </w:pPr>
      <w:r>
        <w:rPr>
          <w:rFonts w:hAnsi="宋体"/>
          <w:szCs w:val="21"/>
        </w:rPr>
        <w:t>乙酸</w:t>
      </w:r>
      <w:r>
        <w:rPr>
          <w:rFonts w:hint="eastAsia" w:hAnsi="宋体"/>
          <w:szCs w:val="21"/>
        </w:rPr>
        <w:t>钠</w:t>
      </w:r>
      <w:r>
        <w:rPr>
          <w:rFonts w:hAnsi="宋体"/>
          <w:szCs w:val="21"/>
        </w:rPr>
        <w:t>溶液（</w:t>
      </w:r>
      <w:r>
        <w:rPr>
          <w:rFonts w:ascii="Times New Roman"/>
          <w:i/>
          <w:szCs w:val="21"/>
        </w:rPr>
        <w:t xml:space="preserve">c </w:t>
      </w:r>
      <w:r>
        <w:rPr>
          <w:rFonts w:hAnsi="宋体"/>
          <w:szCs w:val="21"/>
        </w:rPr>
        <w:t xml:space="preserve">= 0.2 </w:t>
      </w:r>
      <w:r>
        <w:rPr>
          <w:rFonts w:ascii="Times New Roman"/>
          <w:szCs w:val="21"/>
        </w:rPr>
        <w:t>mol/L</w:t>
      </w:r>
      <w:r>
        <w:rPr>
          <w:rFonts w:hAnsi="宋体"/>
          <w:szCs w:val="21"/>
        </w:rPr>
        <w:t>）：称取乙酸钠</w:t>
      </w:r>
      <w:r>
        <w:rPr>
          <w:rFonts w:hint="eastAsia" w:hAnsi="宋体"/>
          <w:szCs w:val="21"/>
        </w:rPr>
        <w:t xml:space="preserve">1.64 </w:t>
      </w:r>
      <w:r>
        <w:rPr>
          <w:rFonts w:ascii="Times New Roman"/>
          <w:szCs w:val="21"/>
        </w:rPr>
        <w:t>g</w:t>
      </w:r>
      <w:r>
        <w:rPr>
          <w:rFonts w:hAnsi="宋体"/>
          <w:szCs w:val="21"/>
        </w:rPr>
        <w:t>，加</w:t>
      </w:r>
      <w:r>
        <w:rPr>
          <w:rFonts w:ascii="Times New Roman"/>
          <w:szCs w:val="21"/>
        </w:rPr>
        <w:t>入</w:t>
      </w:r>
      <w:r>
        <w:rPr>
          <w:rFonts w:hint="eastAsia" w:hAnsi="宋体"/>
          <w:szCs w:val="21"/>
        </w:rPr>
        <w:t>320</w:t>
      </w:r>
      <w:r>
        <w:rPr>
          <w:rFonts w:hAnsi="宋体"/>
          <w:szCs w:val="21"/>
        </w:rPr>
        <w:t xml:space="preserve"> </w:t>
      </w:r>
      <w:r>
        <w:rPr>
          <w:rFonts w:ascii="Times New Roman"/>
          <w:szCs w:val="21"/>
        </w:rPr>
        <w:t>μL乙酸，用水溶解后定容至</w:t>
      </w:r>
      <w:r>
        <w:rPr>
          <w:rFonts w:hint="eastAsia" w:hAnsi="宋体"/>
          <w:szCs w:val="21"/>
        </w:rPr>
        <w:t xml:space="preserve">100 </w:t>
      </w:r>
      <w:r>
        <w:rPr>
          <w:rFonts w:ascii="Times New Roman"/>
          <w:szCs w:val="21"/>
        </w:rPr>
        <w:t>mL。</w:t>
      </w:r>
    </w:p>
    <w:p w14:paraId="4A8546AC">
      <w:pPr>
        <w:pStyle w:val="165"/>
        <w:ind w:left="0"/>
        <w:rPr>
          <w:rFonts w:hAnsi="宋体"/>
        </w:rPr>
      </w:pPr>
      <w:r>
        <w:rPr>
          <w:rFonts w:hAnsi="宋体"/>
          <w:szCs w:val="21"/>
        </w:rPr>
        <w:t>乙酸</w:t>
      </w:r>
      <w:r>
        <w:rPr>
          <w:rFonts w:hint="eastAsia" w:hAnsi="宋体"/>
          <w:szCs w:val="21"/>
        </w:rPr>
        <w:t>甲醇溶液（1</w:t>
      </w:r>
      <w:r>
        <w:rPr>
          <w:rFonts w:hAnsi="宋体"/>
          <w:szCs w:val="21"/>
        </w:rPr>
        <w:t>+25+74</w:t>
      </w:r>
      <w:r>
        <w:rPr>
          <w:rFonts w:hint="eastAsia" w:hAnsi="宋体"/>
          <w:szCs w:val="21"/>
        </w:rPr>
        <w:t>，V/V/V）：</w:t>
      </w:r>
      <w:r>
        <w:rPr>
          <w:rFonts w:hAnsi="宋体"/>
          <w:szCs w:val="21"/>
        </w:rPr>
        <w:t>移取1mL乙酸和25 mL甲醇于100 mL容量瓶中，用水定容至刻度。</w:t>
      </w:r>
    </w:p>
    <w:p w14:paraId="5C0BF395">
      <w:pPr>
        <w:pStyle w:val="165"/>
        <w:ind w:left="0"/>
        <w:rPr>
          <w:rFonts w:hAnsi="宋体"/>
        </w:rPr>
      </w:pPr>
      <w:r>
        <w:rPr>
          <w:rFonts w:hint="eastAsia" w:hAnsi="宋体"/>
          <w:szCs w:val="21"/>
        </w:rPr>
        <w:t>乙酸溶液：（1+999，V/V）:</w:t>
      </w:r>
      <w:bookmarkStart w:id="88" w:name="OLE_LINK4"/>
      <w:r>
        <w:rPr>
          <w:rFonts w:hint="eastAsia" w:hAnsi="宋体"/>
          <w:szCs w:val="21"/>
        </w:rPr>
        <w:t>移取1 mL乙酸，用水定容至1000 mL。</w:t>
      </w:r>
      <w:bookmarkEnd w:id="88"/>
    </w:p>
    <w:p w14:paraId="518C7A70">
      <w:pPr>
        <w:pStyle w:val="165"/>
        <w:ind w:left="0"/>
        <w:rPr>
          <w:rFonts w:hAnsi="宋体"/>
        </w:rPr>
      </w:pPr>
      <w:r>
        <w:rPr>
          <w:rFonts w:hint="eastAsia" w:hAnsi="宋体"/>
          <w:szCs w:val="21"/>
        </w:rPr>
        <w:t>乙酸乙腈溶液：（1+999，V/V）: 移取1 mL乙酸，用乙腈定容至1000 mL。</w:t>
      </w:r>
    </w:p>
    <w:p w14:paraId="2DC6C4CB">
      <w:pPr>
        <w:pStyle w:val="165"/>
        <w:ind w:left="0"/>
        <w:rPr>
          <w:rFonts w:hAnsi="宋体"/>
        </w:rPr>
      </w:pPr>
      <w:r>
        <w:rPr>
          <w:rFonts w:hint="eastAsia" w:hAnsi="宋体"/>
          <w:szCs w:val="21"/>
        </w:rPr>
        <w:t>乙腈溶液：（1+9，V/V）:移取10 mL乙腈，用水定容至100 mL。</w:t>
      </w:r>
    </w:p>
    <w:p w14:paraId="296BF120">
      <w:pPr>
        <w:pStyle w:val="165"/>
        <w:ind w:left="0"/>
        <w:rPr>
          <w:rFonts w:hAnsi="宋体"/>
        </w:rPr>
      </w:pPr>
      <w:r>
        <w:rPr>
          <w:rFonts w:hint="eastAsia" w:hAnsi="宋体"/>
        </w:rPr>
        <w:t>标准品：</w:t>
      </w:r>
      <w:r>
        <w:rPr>
          <w:rFonts w:ascii="Times New Roman"/>
          <w:szCs w:val="21"/>
        </w:rPr>
        <w:t>PNP、</w:t>
      </w:r>
      <w:r>
        <w:rPr>
          <w:rFonts w:hint="eastAsia" w:ascii="Times New Roman"/>
          <w:szCs w:val="21"/>
        </w:rPr>
        <w:t>T</w:t>
      </w:r>
      <w:r>
        <w:rPr>
          <w:rFonts w:ascii="Times New Roman"/>
          <w:szCs w:val="21"/>
        </w:rPr>
        <w:t>CPY、</w:t>
      </w:r>
      <w:r>
        <w:rPr>
          <w:rFonts w:hint="eastAsia" w:ascii="Times New Roman"/>
          <w:szCs w:val="21"/>
        </w:rPr>
        <w:t>2</w:t>
      </w:r>
      <w:r>
        <w:rPr>
          <w:rFonts w:ascii="Times New Roman"/>
          <w:szCs w:val="21"/>
        </w:rPr>
        <w:t>,4-D、2,4,5-T、3-PBA、4F-3PBA、cis-DCCA、</w:t>
      </w:r>
      <w:r>
        <w:rPr>
          <w:rFonts w:hint="eastAsia" w:ascii="Times New Roman"/>
          <w:szCs w:val="21"/>
        </w:rPr>
        <w:t>trans</w:t>
      </w:r>
      <w:r>
        <w:rPr>
          <w:rFonts w:ascii="Times New Roman"/>
          <w:szCs w:val="21"/>
        </w:rPr>
        <w:t>-DCCA</w:t>
      </w:r>
      <w:r>
        <w:rPr>
          <w:rFonts w:hint="eastAsia" w:hAnsi="宋体"/>
          <w:szCs w:val="21"/>
        </w:rPr>
        <w:t>，纯度</w:t>
      </w:r>
      <w:r>
        <w:rPr>
          <w:rFonts w:hint="eastAsia" w:ascii="Times New Roman"/>
        </w:rPr>
        <w:t>≥</w:t>
      </w:r>
      <w:r>
        <w:rPr>
          <w:rFonts w:hint="eastAsia" w:hAnsi="宋体"/>
          <w:szCs w:val="21"/>
        </w:rPr>
        <w:t>95%，基本信息见附录</w:t>
      </w:r>
      <w:r>
        <w:rPr>
          <w:rFonts w:ascii="Times New Roman"/>
          <w:szCs w:val="21"/>
        </w:rPr>
        <w:t>A</w:t>
      </w:r>
      <w:r>
        <w:rPr>
          <w:rFonts w:hint="eastAsia" w:hAnsi="宋体"/>
          <w:szCs w:val="21"/>
        </w:rPr>
        <w:t>。</w:t>
      </w:r>
    </w:p>
    <w:p w14:paraId="421ACD50">
      <w:pPr>
        <w:pStyle w:val="165"/>
        <w:ind w:left="0"/>
        <w:rPr>
          <w:rFonts w:hAnsi="宋体"/>
        </w:rPr>
      </w:pPr>
      <w:r>
        <w:rPr>
          <w:rFonts w:hint="eastAsia" w:ascii="Times New Roman"/>
          <w:szCs w:val="21"/>
        </w:rPr>
        <w:t>稳定同位素内标：</w:t>
      </w:r>
      <w:r>
        <w:rPr>
          <w:rFonts w:ascii="Times New Roman"/>
          <w:szCs w:val="21"/>
          <w:vertAlign w:val="superscript"/>
        </w:rPr>
        <w:t>13</w:t>
      </w:r>
      <w:r>
        <w:rPr>
          <w:rFonts w:ascii="Times New Roman"/>
          <w:szCs w:val="21"/>
        </w:rPr>
        <w:t>C</w:t>
      </w:r>
      <w:r>
        <w:rPr>
          <w:rFonts w:ascii="Times New Roman"/>
          <w:szCs w:val="21"/>
          <w:vertAlign w:val="subscript"/>
        </w:rPr>
        <w:t>6</w:t>
      </w:r>
      <w:r>
        <w:rPr>
          <w:rFonts w:ascii="Times New Roman"/>
          <w:szCs w:val="21"/>
        </w:rPr>
        <w:t>-PNP、</w:t>
      </w:r>
      <w:r>
        <w:rPr>
          <w:rFonts w:ascii="Times New Roman"/>
          <w:vertAlign w:val="superscript"/>
        </w:rPr>
        <w:t>13</w:t>
      </w:r>
      <w:r>
        <w:rPr>
          <w:rFonts w:ascii="Times New Roman"/>
        </w:rPr>
        <w:t>C</w:t>
      </w:r>
      <w:r>
        <w:rPr>
          <w:rFonts w:ascii="Times New Roman"/>
          <w:vertAlign w:val="subscript"/>
        </w:rPr>
        <w:t>3</w:t>
      </w:r>
      <w:r>
        <w:rPr>
          <w:rFonts w:ascii="Times New Roman"/>
        </w:rPr>
        <w:t>-TCPY</w:t>
      </w:r>
      <w:r>
        <w:rPr>
          <w:rFonts w:ascii="Times New Roman"/>
          <w:szCs w:val="21"/>
        </w:rPr>
        <w:t>、</w:t>
      </w:r>
      <w:r>
        <w:rPr>
          <w:rFonts w:ascii="Times New Roman"/>
          <w:vertAlign w:val="superscript"/>
        </w:rPr>
        <w:t>13</w:t>
      </w:r>
      <w:r>
        <w:rPr>
          <w:rFonts w:ascii="Times New Roman"/>
        </w:rPr>
        <w:t>C</w:t>
      </w:r>
      <w:r>
        <w:rPr>
          <w:rFonts w:ascii="Times New Roman"/>
          <w:vertAlign w:val="subscript"/>
        </w:rPr>
        <w:t>6</w:t>
      </w:r>
      <w:r>
        <w:rPr>
          <w:rFonts w:ascii="Times New Roman"/>
        </w:rPr>
        <w:t>-2,4-D</w:t>
      </w:r>
      <w:r>
        <w:rPr>
          <w:rFonts w:ascii="Times New Roman"/>
          <w:szCs w:val="21"/>
        </w:rPr>
        <w:t>、</w:t>
      </w:r>
      <w:r>
        <w:rPr>
          <w:rFonts w:ascii="Times New Roman"/>
          <w:vertAlign w:val="superscript"/>
        </w:rPr>
        <w:t>13</w:t>
      </w:r>
      <w:r>
        <w:rPr>
          <w:rFonts w:ascii="Times New Roman"/>
        </w:rPr>
        <w:t>C</w:t>
      </w:r>
      <w:r>
        <w:rPr>
          <w:rFonts w:ascii="Times New Roman"/>
          <w:vertAlign w:val="subscript"/>
        </w:rPr>
        <w:t>6</w:t>
      </w:r>
      <w:r>
        <w:rPr>
          <w:rFonts w:ascii="Times New Roman"/>
        </w:rPr>
        <w:t>-2,4,5-T</w:t>
      </w:r>
      <w:r>
        <w:rPr>
          <w:rFonts w:ascii="Times New Roman"/>
          <w:vertAlign w:val="superscript"/>
        </w:rPr>
        <w:t xml:space="preserve"> </w:t>
      </w:r>
      <w:r>
        <w:rPr>
          <w:rFonts w:ascii="Times New Roman"/>
        </w:rPr>
        <w:t>、</w:t>
      </w:r>
      <w:r>
        <w:rPr>
          <w:rFonts w:ascii="Times New Roman"/>
          <w:vertAlign w:val="superscript"/>
        </w:rPr>
        <w:t>13</w:t>
      </w:r>
      <w:r>
        <w:rPr>
          <w:rFonts w:ascii="Times New Roman"/>
        </w:rPr>
        <w:t>C</w:t>
      </w:r>
      <w:r>
        <w:rPr>
          <w:rFonts w:ascii="Times New Roman"/>
          <w:vertAlign w:val="subscript"/>
        </w:rPr>
        <w:t>6</w:t>
      </w:r>
      <w:r>
        <w:rPr>
          <w:rFonts w:ascii="Times New Roman"/>
        </w:rPr>
        <w:t>-3-PBA</w:t>
      </w:r>
      <w:r>
        <w:rPr>
          <w:rFonts w:ascii="Times New Roman"/>
          <w:szCs w:val="21"/>
        </w:rPr>
        <w:t>、</w:t>
      </w:r>
      <w:r>
        <w:rPr>
          <w:rFonts w:ascii="Times New Roman"/>
          <w:vertAlign w:val="superscript"/>
        </w:rPr>
        <w:t>13</w:t>
      </w:r>
      <w:r>
        <w:rPr>
          <w:rFonts w:ascii="Times New Roman"/>
        </w:rPr>
        <w:t>C</w:t>
      </w:r>
      <w:r>
        <w:rPr>
          <w:rFonts w:ascii="Times New Roman"/>
          <w:vertAlign w:val="subscript"/>
        </w:rPr>
        <w:t>6</w:t>
      </w:r>
      <w:r>
        <w:rPr>
          <w:rFonts w:ascii="Times New Roman"/>
        </w:rPr>
        <w:t>-4F-3PBA</w:t>
      </w:r>
      <w:r>
        <w:rPr>
          <w:rFonts w:ascii="Times New Roman"/>
          <w:szCs w:val="21"/>
        </w:rPr>
        <w:t>、</w:t>
      </w:r>
      <w:r>
        <w:rPr>
          <w:rFonts w:ascii="Times New Roman"/>
          <w:vertAlign w:val="superscript"/>
        </w:rPr>
        <w:t>13</w:t>
      </w:r>
      <w:r>
        <w:rPr>
          <w:rFonts w:ascii="Times New Roman"/>
        </w:rPr>
        <w:t>C</w:t>
      </w:r>
      <w:r>
        <w:rPr>
          <w:rFonts w:ascii="Times New Roman"/>
          <w:vertAlign w:val="subscript"/>
        </w:rPr>
        <w:t>2</w:t>
      </w:r>
      <w:r>
        <w:rPr>
          <w:rFonts w:ascii="Times New Roman"/>
        </w:rPr>
        <w:t>-D1-</w:t>
      </w:r>
      <w:r>
        <w:rPr>
          <w:rFonts w:ascii="Times New Roman"/>
          <w:i/>
        </w:rPr>
        <w:t>cis</w:t>
      </w:r>
      <w:r>
        <w:rPr>
          <w:rFonts w:ascii="Times New Roman"/>
        </w:rPr>
        <w:t>-DCCA</w:t>
      </w:r>
      <w:r>
        <w:rPr>
          <w:rFonts w:ascii="Times New Roman"/>
          <w:szCs w:val="21"/>
        </w:rPr>
        <w:t>、</w:t>
      </w:r>
      <w:r>
        <w:rPr>
          <w:rFonts w:ascii="Times New Roman"/>
          <w:vertAlign w:val="superscript"/>
        </w:rPr>
        <w:t>13</w:t>
      </w:r>
      <w:r>
        <w:rPr>
          <w:rFonts w:ascii="Times New Roman"/>
        </w:rPr>
        <w:t>C</w:t>
      </w:r>
      <w:r>
        <w:rPr>
          <w:rFonts w:ascii="Times New Roman"/>
          <w:vertAlign w:val="subscript"/>
        </w:rPr>
        <w:t>2</w:t>
      </w:r>
      <w:r>
        <w:rPr>
          <w:rFonts w:ascii="Times New Roman"/>
        </w:rPr>
        <w:t>-D1-</w:t>
      </w:r>
      <w:r>
        <w:rPr>
          <w:rFonts w:ascii="Times New Roman"/>
          <w:i/>
        </w:rPr>
        <w:t>trans</w:t>
      </w:r>
      <w:r>
        <w:rPr>
          <w:rFonts w:ascii="Times New Roman"/>
        </w:rPr>
        <w:t>-DCCA</w:t>
      </w:r>
      <w:r>
        <w:rPr>
          <w:rFonts w:hAnsi="宋体"/>
          <w:szCs w:val="21"/>
        </w:rPr>
        <w:t>，</w:t>
      </w:r>
      <w:r>
        <w:rPr>
          <w:rFonts w:hint="eastAsia" w:hAnsi="宋体"/>
          <w:szCs w:val="21"/>
        </w:rPr>
        <w:t>纯度</w:t>
      </w:r>
      <w:r>
        <w:rPr>
          <w:rFonts w:hint="eastAsia" w:ascii="Times New Roman"/>
        </w:rPr>
        <w:t>≥</w:t>
      </w:r>
      <w:r>
        <w:rPr>
          <w:rFonts w:hint="eastAsia" w:hAnsi="宋体"/>
          <w:szCs w:val="21"/>
        </w:rPr>
        <w:t>95%。</w:t>
      </w:r>
    </w:p>
    <w:p w14:paraId="19433F45">
      <w:pPr>
        <w:pStyle w:val="165"/>
        <w:ind w:left="0"/>
        <w:rPr>
          <w:rFonts w:hAnsi="宋体"/>
        </w:rPr>
      </w:pPr>
      <w:r>
        <w:rPr>
          <w:rFonts w:hAnsi="宋体"/>
          <w:szCs w:val="21"/>
        </w:rPr>
        <w:t>标准</w:t>
      </w:r>
      <w:r>
        <w:rPr>
          <w:rFonts w:hint="eastAsia" w:hAnsi="宋体"/>
          <w:szCs w:val="21"/>
        </w:rPr>
        <w:t>及稳定同位素内标储备</w:t>
      </w:r>
      <w:r>
        <w:rPr>
          <w:rFonts w:hAnsi="宋体"/>
          <w:szCs w:val="21"/>
        </w:rPr>
        <w:t>溶液</w:t>
      </w:r>
      <w:r>
        <w:rPr>
          <w:rFonts w:hint="eastAsia" w:hAnsi="宋体"/>
          <w:szCs w:val="21"/>
        </w:rPr>
        <w:t>：</w:t>
      </w:r>
      <w:r>
        <w:rPr>
          <w:rFonts w:hAnsi="宋体"/>
          <w:szCs w:val="21"/>
        </w:rPr>
        <w:t>准确称取标准品</w:t>
      </w:r>
      <w:r>
        <w:rPr>
          <w:rFonts w:hint="eastAsia" w:hAnsi="宋体"/>
          <w:szCs w:val="21"/>
        </w:rPr>
        <w:t>及稳定同位素内标各</w:t>
      </w:r>
      <w:r>
        <w:rPr>
          <w:rFonts w:hAnsi="宋体"/>
          <w:szCs w:val="21"/>
        </w:rPr>
        <w:t xml:space="preserve">0.001 </w:t>
      </w:r>
      <w:r>
        <w:rPr>
          <w:rFonts w:ascii="Times New Roman"/>
        </w:rPr>
        <w:t>g</w:t>
      </w:r>
      <w:r>
        <w:rPr>
          <w:rFonts w:hAnsi="宋体"/>
          <w:szCs w:val="21"/>
        </w:rPr>
        <w:t>（精确到0.000</w:t>
      </w:r>
      <w:r>
        <w:rPr>
          <w:rFonts w:hint="eastAsia" w:hAnsi="宋体"/>
          <w:szCs w:val="21"/>
        </w:rPr>
        <w:t>1</w:t>
      </w:r>
      <w:r>
        <w:rPr>
          <w:rFonts w:hAnsi="宋体"/>
          <w:szCs w:val="21"/>
        </w:rPr>
        <w:t xml:space="preserve"> </w:t>
      </w:r>
      <w:r>
        <w:rPr>
          <w:rFonts w:ascii="Times New Roman"/>
        </w:rPr>
        <w:t>g</w:t>
      </w:r>
      <w:r>
        <w:rPr>
          <w:rFonts w:hAnsi="宋体"/>
          <w:szCs w:val="21"/>
        </w:rPr>
        <w:t xml:space="preserve">），分别用甲醇定容至10 </w:t>
      </w:r>
      <w:r>
        <w:rPr>
          <w:rFonts w:ascii="Times New Roman"/>
        </w:rPr>
        <w:t>mL</w:t>
      </w:r>
      <w:r>
        <w:rPr>
          <w:rFonts w:hAnsi="宋体"/>
          <w:szCs w:val="21"/>
        </w:rPr>
        <w:t>。8种</w:t>
      </w:r>
      <w:r>
        <w:rPr>
          <w:rFonts w:hint="eastAsia" w:ascii="Times New Roman"/>
        </w:rPr>
        <w:t>农药</w:t>
      </w:r>
      <w:r>
        <w:rPr>
          <w:rFonts w:ascii="Times New Roman"/>
        </w:rPr>
        <w:t>及</w:t>
      </w:r>
      <w:r>
        <w:rPr>
          <w:rFonts w:hAnsi="宋体"/>
          <w:szCs w:val="21"/>
        </w:rPr>
        <w:t>代谢物标准</w:t>
      </w:r>
      <w:r>
        <w:rPr>
          <w:rFonts w:hint="eastAsia" w:hAnsi="宋体"/>
          <w:szCs w:val="21"/>
        </w:rPr>
        <w:t>及稳定</w:t>
      </w:r>
      <w:r>
        <w:rPr>
          <w:rFonts w:hAnsi="宋体"/>
          <w:szCs w:val="21"/>
        </w:rPr>
        <w:t>同位素内标储备</w:t>
      </w:r>
      <w:r>
        <w:rPr>
          <w:rFonts w:hint="eastAsia" w:hAnsi="宋体"/>
          <w:szCs w:val="21"/>
        </w:rPr>
        <w:t>溶</w:t>
      </w:r>
      <w:r>
        <w:rPr>
          <w:rFonts w:hAnsi="宋体"/>
          <w:szCs w:val="21"/>
        </w:rPr>
        <w:t>液</w:t>
      </w:r>
      <w:r>
        <w:rPr>
          <w:rFonts w:hint="eastAsia" w:hAnsi="宋体"/>
          <w:szCs w:val="21"/>
        </w:rPr>
        <w:t>质量</w:t>
      </w:r>
      <w:r>
        <w:rPr>
          <w:rFonts w:hAnsi="宋体"/>
          <w:szCs w:val="21"/>
        </w:rPr>
        <w:t>浓度</w:t>
      </w:r>
      <w:r>
        <w:rPr>
          <w:rFonts w:hint="eastAsia" w:hAnsi="宋体"/>
          <w:szCs w:val="21"/>
        </w:rPr>
        <w:t>均</w:t>
      </w:r>
      <w:r>
        <w:rPr>
          <w:rFonts w:hAnsi="宋体"/>
          <w:szCs w:val="21"/>
        </w:rPr>
        <w:t xml:space="preserve">为100 </w:t>
      </w:r>
      <w:r>
        <w:rPr>
          <w:rFonts w:ascii="Times New Roman"/>
        </w:rPr>
        <w:t>mg/L</w:t>
      </w:r>
      <w:r>
        <w:rPr>
          <w:rFonts w:hint="eastAsia" w:ascii="Times New Roman"/>
        </w:rPr>
        <w:t>，</w:t>
      </w:r>
      <w:r>
        <w:rPr>
          <w:rFonts w:hAnsi="宋体"/>
          <w:szCs w:val="21"/>
        </w:rPr>
        <w:t>4℃可保存</w:t>
      </w:r>
      <w:r>
        <w:rPr>
          <w:rFonts w:hint="eastAsia" w:hAnsi="宋体"/>
          <w:szCs w:val="21"/>
        </w:rPr>
        <w:t>2年</w:t>
      </w:r>
      <w:r>
        <w:rPr>
          <w:rFonts w:hAnsi="宋体"/>
          <w:szCs w:val="21"/>
        </w:rPr>
        <w:t>。</w:t>
      </w:r>
      <w:r>
        <w:rPr>
          <w:rFonts w:hint="eastAsia" w:hAnsi="宋体"/>
          <w:szCs w:val="21"/>
        </w:rPr>
        <w:t>也可直接使用</w:t>
      </w:r>
      <w:r>
        <w:rPr>
          <w:rFonts w:hAnsi="宋体"/>
          <w:szCs w:val="21"/>
        </w:rPr>
        <w:t>符合要求的有证标准溶液。</w:t>
      </w:r>
    </w:p>
    <w:p w14:paraId="43DEFF4D">
      <w:pPr>
        <w:pStyle w:val="165"/>
        <w:ind w:left="0"/>
        <w:rPr>
          <w:rFonts w:hAnsi="宋体"/>
        </w:rPr>
      </w:pPr>
      <w:r>
        <w:rPr>
          <w:rFonts w:hAnsi="宋体"/>
        </w:rPr>
        <w:t>混合标准</w:t>
      </w:r>
      <w:r>
        <w:rPr>
          <w:rFonts w:hint="eastAsia" w:hAnsi="宋体"/>
        </w:rPr>
        <w:t>及稳定同位素内标</w:t>
      </w:r>
      <w:r>
        <w:rPr>
          <w:rFonts w:hAnsi="宋体"/>
        </w:rPr>
        <w:t>中间溶液</w:t>
      </w:r>
      <w:r>
        <w:rPr>
          <w:rFonts w:hint="eastAsia" w:hAnsi="宋体"/>
        </w:rPr>
        <w:t>：</w:t>
      </w:r>
      <w:r>
        <w:rPr>
          <w:rFonts w:hint="eastAsia" w:hAnsi="宋体"/>
          <w:szCs w:val="21"/>
        </w:rPr>
        <w:t>准确移</w:t>
      </w:r>
      <w:r>
        <w:rPr>
          <w:rFonts w:hAnsi="宋体"/>
          <w:szCs w:val="21"/>
        </w:rPr>
        <w:t>取</w:t>
      </w:r>
      <w:r>
        <w:rPr>
          <w:rFonts w:ascii="Times New Roman"/>
          <w:szCs w:val="21"/>
        </w:rPr>
        <w:t>PNP、</w:t>
      </w:r>
      <w:r>
        <w:rPr>
          <w:rFonts w:hint="eastAsia" w:ascii="Times New Roman"/>
          <w:szCs w:val="21"/>
        </w:rPr>
        <w:t>T</w:t>
      </w:r>
      <w:r>
        <w:rPr>
          <w:rFonts w:ascii="Times New Roman"/>
          <w:szCs w:val="21"/>
        </w:rPr>
        <w:t>CPY、</w:t>
      </w:r>
      <w:r>
        <w:rPr>
          <w:rFonts w:hint="eastAsia" w:ascii="Times New Roman"/>
          <w:szCs w:val="21"/>
        </w:rPr>
        <w:t>2</w:t>
      </w:r>
      <w:r>
        <w:rPr>
          <w:rFonts w:ascii="Times New Roman"/>
          <w:szCs w:val="21"/>
        </w:rPr>
        <w:t>,4-D、2,4,5-T、3-PBA、</w:t>
      </w:r>
      <w:r>
        <w:rPr>
          <w:rFonts w:hAnsi="宋体"/>
          <w:szCs w:val="21"/>
        </w:rPr>
        <w:t>4</w:t>
      </w:r>
      <w:r>
        <w:rPr>
          <w:rFonts w:ascii="Times New Roman"/>
          <w:szCs w:val="21"/>
        </w:rPr>
        <w:t>F-</w:t>
      </w:r>
      <w:r>
        <w:rPr>
          <w:rFonts w:hAnsi="宋体"/>
          <w:szCs w:val="21"/>
        </w:rPr>
        <w:t>3</w:t>
      </w:r>
      <w:r>
        <w:rPr>
          <w:rFonts w:ascii="Times New Roman"/>
          <w:szCs w:val="21"/>
        </w:rPr>
        <w:t>PBA、cis-DCCA、</w:t>
      </w:r>
      <w:r>
        <w:rPr>
          <w:rFonts w:hint="eastAsia" w:ascii="Times New Roman"/>
          <w:szCs w:val="21"/>
        </w:rPr>
        <w:t>trans</w:t>
      </w:r>
      <w:r>
        <w:rPr>
          <w:rFonts w:ascii="Times New Roman"/>
          <w:szCs w:val="21"/>
        </w:rPr>
        <w:t>-DCCA</w:t>
      </w:r>
      <w:r>
        <w:rPr>
          <w:rFonts w:ascii="Times New Roman"/>
        </w:rPr>
        <w:t>标</w:t>
      </w:r>
      <w:r>
        <w:rPr>
          <w:rFonts w:hAnsi="宋体"/>
          <w:szCs w:val="21"/>
        </w:rPr>
        <w:t>准储备</w:t>
      </w:r>
      <w:r>
        <w:rPr>
          <w:rFonts w:hint="eastAsia" w:hAnsi="宋体"/>
          <w:szCs w:val="21"/>
        </w:rPr>
        <w:t>溶</w:t>
      </w:r>
      <w:r>
        <w:rPr>
          <w:rFonts w:hAnsi="宋体"/>
          <w:szCs w:val="21"/>
        </w:rPr>
        <w:t xml:space="preserve">液各1.00 </w:t>
      </w:r>
      <w:r>
        <w:rPr>
          <w:rFonts w:ascii="Times New Roman"/>
        </w:rPr>
        <w:t>mL</w:t>
      </w:r>
      <w:r>
        <w:rPr>
          <w:rFonts w:hAnsi="宋体"/>
          <w:szCs w:val="21"/>
        </w:rPr>
        <w:t>，甲醇定容</w:t>
      </w:r>
      <w:r>
        <w:rPr>
          <w:rFonts w:hint="eastAsia" w:hAnsi="宋体"/>
          <w:szCs w:val="21"/>
        </w:rPr>
        <w:t xml:space="preserve">至25 </w:t>
      </w:r>
      <w:r>
        <w:rPr>
          <w:rFonts w:ascii="Times New Roman"/>
        </w:rPr>
        <w:t>mL</w:t>
      </w:r>
      <w:r>
        <w:rPr>
          <w:rFonts w:hint="eastAsia" w:hAnsi="宋体"/>
          <w:szCs w:val="21"/>
        </w:rPr>
        <w:t>，配制成</w:t>
      </w:r>
      <w:r>
        <w:rPr>
          <w:rFonts w:hAnsi="宋体"/>
          <w:szCs w:val="21"/>
        </w:rPr>
        <w:t>混合标准中间溶液</w:t>
      </w:r>
      <w:r>
        <w:rPr>
          <w:rFonts w:hint="eastAsia" w:hAnsi="宋体"/>
          <w:szCs w:val="21"/>
        </w:rPr>
        <w:t>，质量浓度</w:t>
      </w:r>
      <w:r>
        <w:rPr>
          <w:rFonts w:hAnsi="宋体"/>
          <w:szCs w:val="21"/>
        </w:rPr>
        <w:t xml:space="preserve">为4.00 </w:t>
      </w:r>
      <w:r>
        <w:rPr>
          <w:rFonts w:ascii="Times New Roman"/>
        </w:rPr>
        <w:t>mg/L</w:t>
      </w:r>
      <w:r>
        <w:rPr>
          <w:rFonts w:hint="eastAsia" w:hAnsi="宋体"/>
          <w:szCs w:val="21"/>
        </w:rPr>
        <w:t>，</w:t>
      </w:r>
      <w:r>
        <w:rPr>
          <w:rFonts w:hAnsi="宋体"/>
          <w:szCs w:val="21"/>
        </w:rPr>
        <w:t>4℃</w:t>
      </w:r>
      <w:r>
        <w:rPr>
          <w:rFonts w:hint="eastAsia" w:hAnsi="宋体"/>
          <w:szCs w:val="21"/>
        </w:rPr>
        <w:t>可</w:t>
      </w:r>
      <w:r>
        <w:rPr>
          <w:rFonts w:hAnsi="宋体"/>
          <w:szCs w:val="21"/>
        </w:rPr>
        <w:t>保存1</w:t>
      </w:r>
      <w:r>
        <w:rPr>
          <w:rFonts w:hint="eastAsia" w:hAnsi="宋体"/>
          <w:szCs w:val="21"/>
        </w:rPr>
        <w:t>年</w:t>
      </w:r>
      <w:r>
        <w:rPr>
          <w:rFonts w:hAnsi="宋体"/>
          <w:szCs w:val="21"/>
        </w:rPr>
        <w:t>。</w:t>
      </w:r>
      <w:r>
        <w:rPr>
          <w:rFonts w:hint="eastAsia" w:hAnsi="宋体"/>
          <w:szCs w:val="21"/>
        </w:rPr>
        <w:t>准确移取</w:t>
      </w:r>
      <w:r>
        <w:rPr>
          <w:rFonts w:hAnsi="宋体"/>
          <w:szCs w:val="21"/>
        </w:rPr>
        <w:t>8种</w:t>
      </w:r>
      <w:r>
        <w:rPr>
          <w:rFonts w:ascii="Times New Roman"/>
          <w:szCs w:val="21"/>
        </w:rPr>
        <w:t>稳定</w:t>
      </w:r>
      <w:r>
        <w:rPr>
          <w:rFonts w:hAnsi="宋体"/>
          <w:szCs w:val="21"/>
        </w:rPr>
        <w:t>同位素内标标准</w:t>
      </w:r>
      <w:r>
        <w:rPr>
          <w:rFonts w:hint="eastAsia" w:hAnsi="宋体"/>
          <w:szCs w:val="21"/>
        </w:rPr>
        <w:t>储备</w:t>
      </w:r>
      <w:r>
        <w:rPr>
          <w:rFonts w:hAnsi="宋体"/>
          <w:szCs w:val="21"/>
        </w:rPr>
        <w:t>溶液</w:t>
      </w:r>
      <w:r>
        <w:rPr>
          <w:rFonts w:hint="eastAsia" w:hAnsi="宋体"/>
          <w:szCs w:val="21"/>
        </w:rPr>
        <w:t>1</w:t>
      </w:r>
      <w:r>
        <w:rPr>
          <w:rFonts w:hAnsi="宋体"/>
          <w:szCs w:val="21"/>
        </w:rPr>
        <w:t xml:space="preserve">.00 </w:t>
      </w:r>
      <w:r>
        <w:rPr>
          <w:rFonts w:ascii="Times New Roman"/>
          <w:szCs w:val="21"/>
        </w:rPr>
        <w:t>m</w:t>
      </w:r>
      <w:r>
        <w:rPr>
          <w:rFonts w:ascii="Times New Roman"/>
        </w:rPr>
        <w:t>L</w:t>
      </w:r>
      <w:r>
        <w:rPr>
          <w:rFonts w:hint="eastAsia" w:ascii="Times New Roman"/>
        </w:rPr>
        <w:t>，</w:t>
      </w:r>
      <w:r>
        <w:rPr>
          <w:rFonts w:ascii="Times New Roman"/>
        </w:rPr>
        <w:t>甲醇定容至</w:t>
      </w:r>
      <w:r>
        <w:rPr>
          <w:rFonts w:hint="eastAsia" w:hAnsi="宋体"/>
          <w:szCs w:val="21"/>
        </w:rPr>
        <w:t>2</w:t>
      </w:r>
      <w:r>
        <w:rPr>
          <w:rFonts w:hAnsi="宋体"/>
          <w:szCs w:val="21"/>
        </w:rPr>
        <w:t>5</w:t>
      </w:r>
      <w:r>
        <w:rPr>
          <w:rFonts w:ascii="Times New Roman"/>
        </w:rPr>
        <w:t xml:space="preserve"> mL</w:t>
      </w:r>
      <w:r>
        <w:rPr>
          <w:rFonts w:hint="eastAsia" w:ascii="Times New Roman"/>
        </w:rPr>
        <w:t>，</w:t>
      </w:r>
      <w:r>
        <w:rPr>
          <w:rFonts w:ascii="Times New Roman"/>
        </w:rPr>
        <w:t>配</w:t>
      </w:r>
      <w:r>
        <w:rPr>
          <w:rFonts w:hint="eastAsia" w:ascii="Times New Roman"/>
        </w:rPr>
        <w:t>制</w:t>
      </w:r>
      <w:r>
        <w:rPr>
          <w:rFonts w:ascii="Times New Roman"/>
        </w:rPr>
        <w:t>成混合稳定同位素内标中间溶液</w:t>
      </w:r>
      <w:r>
        <w:rPr>
          <w:rFonts w:hint="eastAsia" w:ascii="Times New Roman"/>
        </w:rPr>
        <w:t>，</w:t>
      </w:r>
      <w:r>
        <w:rPr>
          <w:rFonts w:ascii="Times New Roman"/>
        </w:rPr>
        <w:t>质量</w:t>
      </w:r>
      <w:r>
        <w:rPr>
          <w:rFonts w:hAnsi="宋体"/>
          <w:szCs w:val="21"/>
        </w:rPr>
        <w:t>浓度</w:t>
      </w:r>
      <w:r>
        <w:rPr>
          <w:rFonts w:hint="eastAsia" w:hAnsi="宋体"/>
          <w:szCs w:val="21"/>
        </w:rPr>
        <w:t>为</w:t>
      </w:r>
      <w:r>
        <w:rPr>
          <w:rFonts w:hAnsi="宋体"/>
          <w:szCs w:val="21"/>
        </w:rPr>
        <w:t>4</w:t>
      </w:r>
      <w:r>
        <w:rPr>
          <w:rFonts w:hint="eastAsia" w:hAnsi="宋体"/>
          <w:szCs w:val="21"/>
        </w:rPr>
        <w:t>.00</w:t>
      </w:r>
      <w:r>
        <w:rPr>
          <w:rFonts w:hAnsi="宋体"/>
          <w:szCs w:val="21"/>
        </w:rPr>
        <w:t xml:space="preserve"> </w:t>
      </w:r>
      <w:r>
        <w:rPr>
          <w:rFonts w:ascii="Times New Roman"/>
        </w:rPr>
        <w:t>mg/L</w:t>
      </w:r>
      <w:r>
        <w:rPr>
          <w:rFonts w:hint="eastAsia" w:hAnsi="宋体"/>
          <w:szCs w:val="21"/>
        </w:rPr>
        <w:t>，</w:t>
      </w:r>
      <w:bookmarkStart w:id="89" w:name="OLE_LINK5"/>
      <w:r>
        <w:rPr>
          <w:rFonts w:hAnsi="宋体"/>
          <w:szCs w:val="21"/>
        </w:rPr>
        <w:t>4℃可保存</w:t>
      </w:r>
      <w:r>
        <w:rPr>
          <w:rFonts w:hint="eastAsia" w:hAnsi="宋体"/>
          <w:szCs w:val="21"/>
        </w:rPr>
        <w:t>1年</w:t>
      </w:r>
      <w:r>
        <w:rPr>
          <w:rFonts w:hAnsi="宋体"/>
          <w:szCs w:val="21"/>
        </w:rPr>
        <w:t>。</w:t>
      </w:r>
      <w:bookmarkEnd w:id="89"/>
      <w:r>
        <w:rPr>
          <w:rFonts w:hAnsi="宋体"/>
          <w:szCs w:val="21"/>
        </w:rPr>
        <w:t>上述混合标准中间溶液</w:t>
      </w:r>
      <w:r>
        <w:rPr>
          <w:rFonts w:hint="eastAsia" w:hAnsi="宋体"/>
          <w:szCs w:val="21"/>
        </w:rPr>
        <w:t>可直接使用符合</w:t>
      </w:r>
      <w:r>
        <w:rPr>
          <w:rFonts w:hAnsi="宋体"/>
          <w:szCs w:val="21"/>
        </w:rPr>
        <w:t>要求的有证</w:t>
      </w:r>
      <w:r>
        <w:rPr>
          <w:rFonts w:hint="eastAsia" w:hAnsi="宋体"/>
          <w:szCs w:val="21"/>
        </w:rPr>
        <w:t>混合</w:t>
      </w:r>
      <w:r>
        <w:rPr>
          <w:rFonts w:hAnsi="宋体"/>
          <w:szCs w:val="21"/>
        </w:rPr>
        <w:t>标准溶液配</w:t>
      </w:r>
      <w:r>
        <w:rPr>
          <w:rFonts w:hint="eastAsia" w:hAnsi="宋体"/>
          <w:szCs w:val="21"/>
        </w:rPr>
        <w:t>制</w:t>
      </w:r>
      <w:r>
        <w:rPr>
          <w:rFonts w:hAnsi="宋体"/>
          <w:szCs w:val="21"/>
        </w:rPr>
        <w:t>。</w:t>
      </w:r>
    </w:p>
    <w:p w14:paraId="2EDFFC3B">
      <w:pPr>
        <w:pStyle w:val="165"/>
        <w:ind w:left="0"/>
        <w:rPr>
          <w:rFonts w:hAnsi="宋体"/>
        </w:rPr>
      </w:pPr>
      <w:r>
        <w:rPr>
          <w:rFonts w:hint="eastAsia" w:hAnsi="宋体"/>
          <w:szCs w:val="21"/>
        </w:rPr>
        <w:t>混合标准及稳定同位素内标使用溶液：准确移取</w:t>
      </w:r>
      <w:r>
        <w:rPr>
          <w:rFonts w:ascii="Times New Roman"/>
          <w:color w:val="000000" w:themeColor="text1"/>
          <w:szCs w:val="21"/>
          <w14:textFill>
            <w14:solidFill>
              <w14:schemeClr w14:val="tx1"/>
            </w14:solidFill>
          </w14:textFill>
        </w:rPr>
        <w:t>混合</w:t>
      </w:r>
      <w:r>
        <w:rPr>
          <w:rFonts w:hAnsi="宋体"/>
          <w:color w:val="000000" w:themeColor="text1"/>
          <w:szCs w:val="21"/>
          <w14:textFill>
            <w14:solidFill>
              <w14:schemeClr w14:val="tx1"/>
            </w14:solidFill>
          </w14:textFill>
        </w:rPr>
        <w:t>标准中间溶液</w:t>
      </w:r>
      <w:r>
        <w:rPr>
          <w:rFonts w:hint="eastAsia" w:hAnsi="宋体"/>
          <w:color w:val="000000" w:themeColor="text1"/>
          <w:szCs w:val="21"/>
          <w14:textFill>
            <w14:solidFill>
              <w14:schemeClr w14:val="tx1"/>
            </w14:solidFill>
          </w14:textFill>
        </w:rPr>
        <w:t>，用甲醇</w:t>
      </w:r>
      <w:r>
        <w:rPr>
          <w:rFonts w:hAnsi="宋体"/>
          <w:color w:val="000000" w:themeColor="text1"/>
          <w:szCs w:val="21"/>
          <w14:textFill>
            <w14:solidFill>
              <w14:schemeClr w14:val="tx1"/>
            </w14:solidFill>
          </w14:textFill>
        </w:rPr>
        <w:t>稀释</w:t>
      </w:r>
      <w:r>
        <w:rPr>
          <w:rFonts w:hAnsi="宋体"/>
          <w:szCs w:val="21"/>
        </w:rPr>
        <w:t>成</w:t>
      </w:r>
      <w:r>
        <w:rPr>
          <w:rFonts w:hint="eastAsia" w:hAnsi="宋体"/>
          <w:szCs w:val="21"/>
        </w:rPr>
        <w:t>质量</w:t>
      </w:r>
      <w:r>
        <w:rPr>
          <w:rFonts w:hAnsi="宋体"/>
          <w:szCs w:val="21"/>
        </w:rPr>
        <w:t>浓度为1.00</w:t>
      </w:r>
      <w:r>
        <w:rPr>
          <w:rFonts w:ascii="Times New Roman"/>
          <w:szCs w:val="21"/>
        </w:rPr>
        <w:t xml:space="preserve"> mg/L</w:t>
      </w:r>
      <w:r>
        <w:rPr>
          <w:rFonts w:hint="eastAsia" w:ascii="Times New Roman"/>
          <w:szCs w:val="21"/>
        </w:rPr>
        <w:t>的</w:t>
      </w:r>
      <w:r>
        <w:rPr>
          <w:rFonts w:hAnsi="宋体"/>
          <w:szCs w:val="21"/>
        </w:rPr>
        <w:t>混合标准使用溶液</w:t>
      </w:r>
      <w:r>
        <w:rPr>
          <w:rFonts w:hint="eastAsia" w:hAnsi="宋体"/>
          <w:szCs w:val="21"/>
        </w:rPr>
        <w:t>。将</w:t>
      </w:r>
      <w:r>
        <w:rPr>
          <w:rFonts w:ascii="Times New Roman"/>
        </w:rPr>
        <w:t>混合稳定同位素内标中间溶液</w:t>
      </w:r>
      <w:r>
        <w:rPr>
          <w:rFonts w:hint="eastAsia" w:ascii="Times New Roman"/>
        </w:rPr>
        <w:t>用甲醇</w:t>
      </w:r>
      <w:r>
        <w:rPr>
          <w:rFonts w:hint="eastAsia" w:hAnsi="宋体"/>
          <w:szCs w:val="21"/>
        </w:rPr>
        <w:t>稀释至1</w:t>
      </w:r>
      <w:r>
        <w:rPr>
          <w:rFonts w:hAnsi="宋体"/>
          <w:szCs w:val="21"/>
        </w:rPr>
        <w:t xml:space="preserve">.00 </w:t>
      </w:r>
      <w:r>
        <w:rPr>
          <w:rFonts w:ascii="Times New Roman"/>
          <w:szCs w:val="21"/>
        </w:rPr>
        <w:t>mg/L</w:t>
      </w:r>
      <w:r>
        <w:rPr>
          <w:rFonts w:hint="eastAsia" w:hAnsi="宋体"/>
          <w:szCs w:val="21"/>
        </w:rPr>
        <w:t>，配</w:t>
      </w:r>
      <w:r>
        <w:rPr>
          <w:rFonts w:hAnsi="宋体"/>
          <w:szCs w:val="21"/>
        </w:rPr>
        <w:t>制成混合稳定同位素内标使用溶液</w:t>
      </w:r>
      <w:r>
        <w:rPr>
          <w:rFonts w:hint="eastAsia" w:hAnsi="宋体"/>
          <w:szCs w:val="21"/>
        </w:rPr>
        <w:t>。</w:t>
      </w:r>
      <w:bookmarkStart w:id="90" w:name="OLE_LINK9"/>
      <w:r>
        <w:rPr>
          <w:rFonts w:hint="eastAsia" w:hAnsi="宋体"/>
          <w:szCs w:val="21"/>
        </w:rPr>
        <w:t>混合标准使用溶液和混合稳定同位素内标使用溶液应现用现配。</w:t>
      </w:r>
      <w:bookmarkEnd w:id="90"/>
    </w:p>
    <w:p w14:paraId="1E428B4D">
      <w:pPr>
        <w:pStyle w:val="165"/>
        <w:ind w:left="0"/>
        <w:rPr>
          <w:rFonts w:hAnsi="宋体"/>
        </w:rPr>
      </w:pPr>
    </w:p>
    <w:p w14:paraId="52AB5518">
      <w:pPr>
        <w:pStyle w:val="107"/>
        <w:spacing w:before="240" w:after="240"/>
      </w:pPr>
      <w:bookmarkStart w:id="91" w:name="_Toc76128031"/>
      <w:bookmarkStart w:id="92" w:name="_Toc83893100"/>
      <w:bookmarkStart w:id="93" w:name="_Toc70341300"/>
      <w:bookmarkStart w:id="94" w:name="_Toc201916957"/>
      <w:bookmarkStart w:id="95" w:name="_Toc83893130"/>
      <w:bookmarkStart w:id="96" w:name="_Toc76128062"/>
      <w:r>
        <w:rPr>
          <w:rFonts w:hint="eastAsia"/>
        </w:rPr>
        <w:t>仪器设备</w:t>
      </w:r>
      <w:bookmarkEnd w:id="91"/>
      <w:bookmarkEnd w:id="92"/>
      <w:bookmarkEnd w:id="93"/>
      <w:bookmarkEnd w:id="94"/>
      <w:bookmarkEnd w:id="95"/>
      <w:bookmarkEnd w:id="96"/>
    </w:p>
    <w:p w14:paraId="11EC623F">
      <w:pPr>
        <w:pStyle w:val="165"/>
        <w:ind w:left="0"/>
        <w:rPr>
          <w:rFonts w:hAnsi="宋体"/>
        </w:rPr>
      </w:pPr>
      <w:r>
        <w:rPr>
          <w:rFonts w:hint="eastAsia" w:ascii="Times New Roman"/>
        </w:rPr>
        <w:t>液相色谱串联质谱仪（L</w:t>
      </w:r>
      <w:r>
        <w:rPr>
          <w:rFonts w:ascii="Times New Roman"/>
        </w:rPr>
        <w:t>C-MS/MS</w:t>
      </w:r>
      <w:r>
        <w:rPr>
          <w:rFonts w:hint="eastAsia" w:ascii="Times New Roman"/>
        </w:rPr>
        <w:t>）：</w:t>
      </w:r>
      <w:r>
        <w:rPr>
          <w:rFonts w:hAnsi="宋体"/>
        </w:rPr>
        <w:t>配电喷雾离子源（</w:t>
      </w:r>
      <w:r>
        <w:rPr>
          <w:rFonts w:ascii="Times New Roman"/>
        </w:rPr>
        <w:t>ESI</w:t>
      </w:r>
      <w:r>
        <w:rPr>
          <w:rFonts w:hAnsi="宋体"/>
        </w:rPr>
        <w:t>）。</w:t>
      </w:r>
    </w:p>
    <w:p w14:paraId="3481CD46">
      <w:pPr>
        <w:pStyle w:val="165"/>
        <w:ind w:left="0"/>
        <w:rPr>
          <w:rFonts w:hAnsi="宋体"/>
        </w:rPr>
      </w:pPr>
      <w:r>
        <w:rPr>
          <w:rFonts w:hAnsi="宋体"/>
        </w:rPr>
        <w:t>电子天平：感量为0.000</w:t>
      </w:r>
      <w:r>
        <w:rPr>
          <w:rFonts w:hint="eastAsia" w:hAnsi="宋体"/>
        </w:rPr>
        <w:t>1</w:t>
      </w:r>
      <w:r>
        <w:rPr>
          <w:rFonts w:ascii="Times New Roman"/>
        </w:rPr>
        <w:t>g</w:t>
      </w:r>
      <w:r>
        <w:rPr>
          <w:rFonts w:hAnsi="宋体"/>
        </w:rPr>
        <w:t xml:space="preserve">和0.01 </w:t>
      </w:r>
      <w:r>
        <w:rPr>
          <w:rFonts w:ascii="Times New Roman"/>
        </w:rPr>
        <w:t>g</w:t>
      </w:r>
      <w:r>
        <w:rPr>
          <w:rFonts w:hAnsi="宋体"/>
        </w:rPr>
        <w:t>。</w:t>
      </w:r>
    </w:p>
    <w:p w14:paraId="72ACCDB8">
      <w:pPr>
        <w:pStyle w:val="165"/>
        <w:ind w:left="0"/>
        <w:rPr>
          <w:rFonts w:hAnsi="宋体"/>
        </w:rPr>
      </w:pPr>
      <w:r>
        <w:rPr>
          <w:rFonts w:hAnsi="宋体"/>
        </w:rPr>
        <w:t>恒温水浴锅</w:t>
      </w:r>
      <w:r>
        <w:rPr>
          <w:rFonts w:hint="eastAsia" w:hAnsi="宋体"/>
        </w:rPr>
        <w:t>：</w:t>
      </w:r>
      <w:r>
        <w:rPr>
          <w:rFonts w:hAnsi="宋体"/>
        </w:rPr>
        <w:t xml:space="preserve">可控制37℃ </w:t>
      </w:r>
      <w:r>
        <w:rPr>
          <w:rFonts w:ascii="Times New Roman"/>
        </w:rPr>
        <w:t xml:space="preserve">± </w:t>
      </w:r>
      <w:r>
        <w:rPr>
          <w:rFonts w:hint="eastAsia" w:hAnsi="宋体"/>
        </w:rPr>
        <w:t>2</w:t>
      </w:r>
      <w:r>
        <w:rPr>
          <w:rFonts w:hAnsi="宋体"/>
        </w:rPr>
        <w:t>℃</w:t>
      </w:r>
      <w:r>
        <w:rPr>
          <w:rFonts w:hint="eastAsia" w:hAnsi="宋体"/>
        </w:rPr>
        <w:t>。</w:t>
      </w:r>
    </w:p>
    <w:p w14:paraId="6A5CFD22">
      <w:pPr>
        <w:pStyle w:val="165"/>
        <w:ind w:left="0"/>
        <w:rPr>
          <w:rFonts w:hAnsi="宋体"/>
        </w:rPr>
      </w:pPr>
      <w:r>
        <w:rPr>
          <w:rFonts w:hAnsi="宋体"/>
        </w:rPr>
        <w:t>离心机</w:t>
      </w:r>
      <w:r>
        <w:rPr>
          <w:rFonts w:hint="eastAsia" w:hAnsi="宋体"/>
        </w:rPr>
        <w:t>：相对离心力≥</w:t>
      </w:r>
      <w:r>
        <w:rPr>
          <w:rFonts w:hAnsi="宋体"/>
        </w:rPr>
        <w:t xml:space="preserve">1700 </w:t>
      </w:r>
      <w:r>
        <w:rPr>
          <w:rFonts w:ascii="Times New Roman"/>
        </w:rPr>
        <w:t>×</w:t>
      </w:r>
      <w:r>
        <w:rPr>
          <w:rFonts w:hint="eastAsia" w:ascii="Times New Roman"/>
          <w:i/>
        </w:rPr>
        <w:t>g</w:t>
      </w:r>
      <w:r>
        <w:rPr>
          <w:rFonts w:hint="eastAsia" w:hAnsi="宋体"/>
        </w:rPr>
        <w:t>。</w:t>
      </w:r>
    </w:p>
    <w:p w14:paraId="0C67F3C5">
      <w:pPr>
        <w:pStyle w:val="165"/>
        <w:ind w:left="0"/>
        <w:rPr>
          <w:rFonts w:hAnsi="宋体"/>
        </w:rPr>
      </w:pPr>
      <w:bookmarkStart w:id="97" w:name="OLE_LINK11"/>
      <w:r>
        <w:rPr>
          <w:rFonts w:hAnsi="宋体"/>
        </w:rPr>
        <w:t>固相萃取装置</w:t>
      </w:r>
      <w:r>
        <w:rPr>
          <w:rFonts w:hint="eastAsia" w:hAnsi="宋体"/>
        </w:rPr>
        <w:t>：24孔，可连接亲水亲酯平衡性固相萃取柱</w:t>
      </w:r>
      <w:bookmarkEnd w:id="97"/>
      <w:r>
        <w:rPr>
          <w:rFonts w:hint="eastAsia" w:hAnsi="宋体"/>
        </w:rPr>
        <w:t>。</w:t>
      </w:r>
    </w:p>
    <w:p w14:paraId="0AFF8E0F">
      <w:pPr>
        <w:pStyle w:val="165"/>
        <w:ind w:left="0"/>
        <w:rPr>
          <w:rFonts w:hAnsi="宋体"/>
        </w:rPr>
      </w:pPr>
      <w:r>
        <w:rPr>
          <w:rFonts w:hAnsi="宋体"/>
        </w:rPr>
        <w:t>涡旋混匀器。</w:t>
      </w:r>
    </w:p>
    <w:p w14:paraId="08F97F7D">
      <w:pPr>
        <w:pStyle w:val="107"/>
        <w:spacing w:before="240" w:after="240"/>
      </w:pPr>
      <w:bookmarkStart w:id="98" w:name="_Toc76128032"/>
      <w:bookmarkStart w:id="99" w:name="_Toc70341301"/>
      <w:bookmarkStart w:id="100" w:name="_Toc76128063"/>
      <w:bookmarkStart w:id="101" w:name="_Toc83893101"/>
      <w:bookmarkStart w:id="102" w:name="_Toc201916958"/>
      <w:bookmarkStart w:id="103" w:name="_Toc57880283"/>
      <w:bookmarkStart w:id="104" w:name="_Toc83893131"/>
      <w:r>
        <w:rPr>
          <w:rFonts w:hint="eastAsia"/>
        </w:rPr>
        <w:t>样本采集</w:t>
      </w:r>
      <w:r>
        <w:t>、运输和保存</w:t>
      </w:r>
      <w:bookmarkEnd w:id="98"/>
      <w:bookmarkEnd w:id="99"/>
      <w:bookmarkEnd w:id="100"/>
      <w:bookmarkEnd w:id="101"/>
      <w:bookmarkEnd w:id="102"/>
      <w:bookmarkEnd w:id="103"/>
      <w:bookmarkEnd w:id="104"/>
    </w:p>
    <w:p w14:paraId="669C8E10">
      <w:pPr>
        <w:pStyle w:val="108"/>
        <w:spacing w:before="120" w:after="120"/>
        <w:ind w:left="0"/>
        <w:rPr>
          <w:color w:val="000000" w:themeColor="text1"/>
          <w14:textFill>
            <w14:solidFill>
              <w14:schemeClr w14:val="tx1"/>
            </w14:solidFill>
          </w14:textFill>
        </w:rPr>
      </w:pPr>
      <w:bookmarkStart w:id="105" w:name="_Toc70341302"/>
      <w:bookmarkStart w:id="106" w:name="_Toc76128064"/>
      <w:bookmarkStart w:id="107" w:name="_Toc83893132"/>
      <w:bookmarkStart w:id="108" w:name="_Toc57880284"/>
      <w:bookmarkStart w:id="109" w:name="_Toc76128033"/>
      <w:r>
        <w:rPr>
          <w:rFonts w:hint="eastAsia"/>
          <w:color w:val="000000" w:themeColor="text1"/>
          <w14:textFill>
            <w14:solidFill>
              <w14:schemeClr w14:val="tx1"/>
            </w14:solidFill>
          </w14:textFill>
        </w:rPr>
        <w:t>样本采集</w:t>
      </w:r>
      <w:bookmarkEnd w:id="105"/>
      <w:bookmarkEnd w:id="106"/>
      <w:bookmarkEnd w:id="107"/>
      <w:bookmarkEnd w:id="108"/>
      <w:bookmarkEnd w:id="109"/>
    </w:p>
    <w:p w14:paraId="1F02E9BC">
      <w:pPr>
        <w:pStyle w:val="59"/>
        <w:ind w:firstLine="420"/>
      </w:pPr>
      <w:r>
        <w:rPr>
          <w:rFonts w:hint="eastAsia"/>
        </w:rPr>
        <w:t>按</w:t>
      </w:r>
      <w:r>
        <w:rPr>
          <w:rFonts w:ascii="Times New Roman"/>
        </w:rPr>
        <w:t xml:space="preserve">GB/T </w:t>
      </w:r>
      <w:r>
        <w:rPr>
          <w:rFonts w:hint="eastAsia"/>
        </w:rPr>
        <w:t>38735规定方法采集尿液样本。尿液样本最少</w:t>
      </w:r>
      <w:r>
        <w:t>采集量</w:t>
      </w:r>
      <w:r>
        <w:rPr>
          <w:rFonts w:hint="eastAsia"/>
        </w:rPr>
        <w:t>4.5</w:t>
      </w:r>
      <w:r>
        <w:t xml:space="preserve"> </w:t>
      </w:r>
      <w:r>
        <w:rPr>
          <w:rFonts w:ascii="Times New Roman"/>
        </w:rPr>
        <w:t>mL</w:t>
      </w:r>
      <w:r>
        <w:rPr>
          <w:rFonts w:hint="eastAsia"/>
        </w:rPr>
        <w:t>，</w:t>
      </w:r>
      <w:r>
        <w:t>以满足重复测定需求</w:t>
      </w:r>
      <w:r>
        <w:rPr>
          <w:rFonts w:hint="eastAsia"/>
        </w:rPr>
        <w:t>。采集的样本应储存于</w:t>
      </w:r>
      <w:r>
        <w:t>硼硅酸盐玻璃或聚丙烯材质的采样</w:t>
      </w:r>
      <w:r>
        <w:rPr>
          <w:rFonts w:hint="eastAsia"/>
        </w:rPr>
        <w:t>管中</w:t>
      </w:r>
      <w:r>
        <w:t>，使用</w:t>
      </w:r>
      <w:r>
        <w:rPr>
          <w:rFonts w:hint="eastAsia"/>
        </w:rPr>
        <w:t>聚丙烯或聚四氟乙烯</w:t>
      </w:r>
      <w:r>
        <w:t>材质的盖子，不</w:t>
      </w:r>
      <w:r>
        <w:rPr>
          <w:rFonts w:hint="eastAsia"/>
        </w:rPr>
        <w:t>得</w:t>
      </w:r>
      <w:r>
        <w:t>使用橡胶塞。</w:t>
      </w:r>
    </w:p>
    <w:p w14:paraId="4DCD96AE">
      <w:pPr>
        <w:pStyle w:val="108"/>
        <w:spacing w:before="120" w:after="120"/>
        <w:ind w:left="0"/>
      </w:pPr>
      <w:bookmarkStart w:id="110" w:name="_Toc76128065"/>
      <w:bookmarkStart w:id="111" w:name="_Toc83893133"/>
      <w:bookmarkStart w:id="112" w:name="_Toc76128034"/>
      <w:bookmarkStart w:id="113" w:name="_Toc70341303"/>
      <w:bookmarkStart w:id="114" w:name="_Toc57880285"/>
      <w:r>
        <w:rPr>
          <w:rFonts w:hint="eastAsia"/>
        </w:rPr>
        <w:t>样本运输和保存</w:t>
      </w:r>
      <w:bookmarkEnd w:id="110"/>
      <w:bookmarkEnd w:id="111"/>
      <w:bookmarkEnd w:id="112"/>
      <w:bookmarkEnd w:id="113"/>
      <w:bookmarkEnd w:id="114"/>
    </w:p>
    <w:p w14:paraId="631A72B1">
      <w:pPr>
        <w:pStyle w:val="59"/>
        <w:ind w:firstLine="420"/>
        <w:rPr>
          <w:rFonts w:hAnsi="宋体"/>
        </w:rPr>
      </w:pPr>
      <w:bookmarkStart w:id="115" w:name="OLE_LINK14"/>
      <w:r>
        <w:rPr>
          <w:rFonts w:hint="eastAsia" w:hAnsi="宋体"/>
        </w:rPr>
        <w:t>现场采集时，先检查采样管是否清洁、是否未开启、是否损坏。</w:t>
      </w:r>
      <w:bookmarkEnd w:id="115"/>
      <w:r>
        <w:rPr>
          <w:rFonts w:hint="eastAsia" w:hAnsi="宋体"/>
        </w:rPr>
        <w:t>样品采集完成后，应将尿液样本暂存在装有冰袋或冰盒的保温箱中，并于</w:t>
      </w:r>
      <w:r>
        <w:rPr>
          <w:rFonts w:hAnsi="宋体"/>
        </w:rPr>
        <w:t xml:space="preserve">12 </w:t>
      </w:r>
      <w:r>
        <w:rPr>
          <w:rFonts w:ascii="Times New Roman"/>
        </w:rPr>
        <w:t>h</w:t>
      </w:r>
      <w:r>
        <w:rPr>
          <w:rFonts w:hAnsi="宋体"/>
        </w:rPr>
        <w:t>内</w:t>
      </w:r>
      <w:r>
        <w:rPr>
          <w:rFonts w:hint="eastAsia" w:ascii="MS Mincho" w:hAnsi="MS Mincho" w:eastAsia="MS Mincho" w:cs="MS Mincho"/>
          <w:sz w:val="18"/>
          <w:szCs w:val="18"/>
        </w:rPr>
        <w:t>−</w:t>
      </w:r>
      <w:r>
        <w:rPr>
          <w:rFonts w:hAnsi="宋体"/>
        </w:rPr>
        <w:t>20</w:t>
      </w:r>
      <w:r>
        <w:rPr>
          <w:rFonts w:hint="eastAsia" w:hAnsi="宋体"/>
        </w:rPr>
        <w:t>℃冷链运输至实验室，避光保存。</w:t>
      </w:r>
      <w:r>
        <w:rPr>
          <w:rFonts w:hAnsi="宋体"/>
        </w:rPr>
        <w:t>尿液样</w:t>
      </w:r>
      <w:r>
        <w:rPr>
          <w:rFonts w:hint="eastAsia" w:hAnsi="宋体"/>
        </w:rPr>
        <w:t>本在</w:t>
      </w:r>
      <w:r>
        <w:rPr>
          <w:rFonts w:hAnsi="宋体"/>
        </w:rPr>
        <w:t>-20℃下可保存2个月，在-70℃下</w:t>
      </w:r>
      <w:r>
        <w:rPr>
          <w:rFonts w:hint="eastAsia" w:hAnsi="宋体"/>
        </w:rPr>
        <w:t>可至少</w:t>
      </w:r>
      <w:r>
        <w:rPr>
          <w:rFonts w:hAnsi="宋体"/>
        </w:rPr>
        <w:t>保存1年。</w:t>
      </w:r>
    </w:p>
    <w:p w14:paraId="08AED635">
      <w:pPr>
        <w:pStyle w:val="107"/>
        <w:spacing w:before="240" w:after="240"/>
      </w:pPr>
      <w:bookmarkStart w:id="116" w:name="_Toc83893102"/>
      <w:bookmarkStart w:id="117" w:name="_Toc76128035"/>
      <w:bookmarkStart w:id="118" w:name="_Toc57880286"/>
      <w:bookmarkStart w:id="119" w:name="_Toc70341304"/>
      <w:bookmarkStart w:id="120" w:name="_Toc55843014"/>
      <w:bookmarkStart w:id="121" w:name="_Toc83893134"/>
      <w:bookmarkStart w:id="122" w:name="_Toc201916959"/>
      <w:bookmarkStart w:id="123" w:name="_Toc76128066"/>
      <w:r>
        <w:rPr>
          <w:rFonts w:hint="eastAsia"/>
        </w:rPr>
        <w:t>分析步骤</w:t>
      </w:r>
      <w:bookmarkEnd w:id="116"/>
      <w:bookmarkEnd w:id="117"/>
      <w:bookmarkEnd w:id="118"/>
      <w:bookmarkEnd w:id="119"/>
      <w:bookmarkEnd w:id="120"/>
      <w:bookmarkEnd w:id="121"/>
      <w:bookmarkEnd w:id="122"/>
      <w:bookmarkEnd w:id="123"/>
    </w:p>
    <w:p w14:paraId="365C63EE">
      <w:pPr>
        <w:pStyle w:val="108"/>
        <w:spacing w:before="120" w:after="120"/>
        <w:ind w:left="0"/>
      </w:pPr>
      <w:bookmarkStart w:id="124" w:name="_Toc57880287"/>
      <w:bookmarkStart w:id="125" w:name="_Toc83893135"/>
      <w:bookmarkStart w:id="126" w:name="_Toc70341305"/>
      <w:bookmarkStart w:id="127" w:name="_Toc76128067"/>
      <w:bookmarkStart w:id="128" w:name="_Toc76128036"/>
      <w:bookmarkStart w:id="129" w:name="_Toc55843016"/>
      <w:r>
        <w:rPr>
          <w:rFonts w:hint="eastAsia"/>
        </w:rPr>
        <w:t>样本前处理</w:t>
      </w:r>
      <w:bookmarkEnd w:id="124"/>
      <w:bookmarkEnd w:id="125"/>
      <w:bookmarkEnd w:id="126"/>
      <w:bookmarkEnd w:id="127"/>
      <w:bookmarkEnd w:id="128"/>
      <w:bookmarkEnd w:id="129"/>
    </w:p>
    <w:p w14:paraId="11726F8A">
      <w:pPr>
        <w:pStyle w:val="168"/>
        <w:spacing w:after="120" w:afterLines="50"/>
        <w:rPr>
          <w:rFonts w:ascii="黑体" w:hAnsi="黑体" w:eastAsia="黑体"/>
        </w:rPr>
      </w:pPr>
      <w:bookmarkStart w:id="130" w:name="_Toc70341306"/>
      <w:r>
        <w:rPr>
          <w:rFonts w:ascii="黑体" w:hAnsi="黑体" w:eastAsia="黑体"/>
        </w:rPr>
        <w:t>样</w:t>
      </w:r>
      <w:r>
        <w:rPr>
          <w:rFonts w:hint="eastAsia" w:ascii="黑体" w:hAnsi="黑体" w:eastAsia="黑体"/>
        </w:rPr>
        <w:t>本</w:t>
      </w:r>
      <w:r>
        <w:rPr>
          <w:rFonts w:ascii="黑体" w:hAnsi="黑体" w:eastAsia="黑体"/>
        </w:rPr>
        <w:t>准备</w:t>
      </w:r>
      <w:bookmarkEnd w:id="130"/>
    </w:p>
    <w:p w14:paraId="6E2DBEF2">
      <w:pPr>
        <w:pStyle w:val="59"/>
        <w:ind w:firstLine="420"/>
        <w:rPr>
          <w:rFonts w:hAnsi="宋体"/>
          <w:szCs w:val="21"/>
        </w:rPr>
      </w:pPr>
      <w:r>
        <w:rPr>
          <w:rFonts w:hAnsi="宋体"/>
          <w:szCs w:val="21"/>
        </w:rPr>
        <w:t>将冻存的尿液</w:t>
      </w:r>
      <w:r>
        <w:rPr>
          <w:rFonts w:hint="eastAsia" w:hAnsi="宋体"/>
          <w:szCs w:val="21"/>
        </w:rPr>
        <w:t>样本</w:t>
      </w:r>
      <w:r>
        <w:rPr>
          <w:rFonts w:hAnsi="宋体"/>
          <w:szCs w:val="21"/>
        </w:rPr>
        <w:t>取出，4℃下</w:t>
      </w:r>
      <w:r>
        <w:rPr>
          <w:rFonts w:hint="eastAsia" w:hAnsi="宋体"/>
          <w:szCs w:val="21"/>
        </w:rPr>
        <w:t>完全</w:t>
      </w:r>
      <w:r>
        <w:rPr>
          <w:rFonts w:hAnsi="宋体"/>
          <w:szCs w:val="21"/>
        </w:rPr>
        <w:t>解冻后，</w:t>
      </w:r>
      <w:r>
        <w:rPr>
          <w:rFonts w:hint="eastAsia" w:hAnsi="宋体"/>
          <w:szCs w:val="21"/>
        </w:rPr>
        <w:t>取出</w:t>
      </w:r>
      <w:r>
        <w:rPr>
          <w:rFonts w:hAnsi="宋体"/>
          <w:szCs w:val="21"/>
        </w:rPr>
        <w:t>自然放置至室温。</w:t>
      </w:r>
    </w:p>
    <w:p w14:paraId="6C03447F">
      <w:pPr>
        <w:pStyle w:val="168"/>
        <w:spacing w:before="120" w:beforeLines="50" w:after="120" w:afterLines="50"/>
        <w:rPr>
          <w:rFonts w:ascii="黑体" w:hAnsi="黑体" w:eastAsia="黑体"/>
        </w:rPr>
      </w:pPr>
      <w:bookmarkStart w:id="131" w:name="_Toc70341307"/>
      <w:r>
        <w:rPr>
          <w:rFonts w:ascii="黑体" w:hAnsi="黑体" w:eastAsia="黑体"/>
        </w:rPr>
        <w:t>样</w:t>
      </w:r>
      <w:r>
        <w:rPr>
          <w:rFonts w:hint="eastAsia" w:ascii="黑体" w:hAnsi="黑体" w:eastAsia="黑体"/>
        </w:rPr>
        <w:t>本</w:t>
      </w:r>
      <w:r>
        <w:rPr>
          <w:rFonts w:ascii="黑体" w:hAnsi="黑体" w:eastAsia="黑体"/>
        </w:rPr>
        <w:t>制备</w:t>
      </w:r>
      <w:bookmarkEnd w:id="131"/>
    </w:p>
    <w:p w14:paraId="54679C45">
      <w:pPr>
        <w:pStyle w:val="168"/>
        <w:numPr>
          <w:ilvl w:val="0"/>
          <w:numId w:val="0"/>
        </w:numPr>
        <w:ind w:firstLine="420" w:firstLineChars="200"/>
        <w:rPr>
          <w:rFonts w:hAnsi="宋体"/>
          <w:szCs w:val="21"/>
        </w:rPr>
      </w:pPr>
      <w:r>
        <w:rPr>
          <w:rFonts w:hAnsi="宋体"/>
          <w:szCs w:val="21"/>
        </w:rPr>
        <w:t>用涡旋混匀器混匀</w:t>
      </w:r>
      <w:r>
        <w:rPr>
          <w:rFonts w:hint="eastAsia" w:hAnsi="宋体"/>
          <w:szCs w:val="21"/>
        </w:rPr>
        <w:t>尿液样本，准确移</w:t>
      </w:r>
      <w:r>
        <w:rPr>
          <w:rFonts w:hAnsi="宋体"/>
          <w:szCs w:val="21"/>
        </w:rPr>
        <w:t xml:space="preserve">取1.00 </w:t>
      </w:r>
      <w:r>
        <w:rPr>
          <w:rFonts w:ascii="Times New Roman"/>
        </w:rPr>
        <w:t>mL</w:t>
      </w:r>
      <w:r>
        <w:rPr>
          <w:rFonts w:hint="eastAsia" w:hAnsi="宋体"/>
          <w:szCs w:val="21"/>
        </w:rPr>
        <w:t>于</w:t>
      </w:r>
      <w:r>
        <w:rPr>
          <w:rFonts w:hAnsi="宋体"/>
          <w:szCs w:val="21"/>
        </w:rPr>
        <w:t xml:space="preserve">5 </w:t>
      </w:r>
      <w:r>
        <w:rPr>
          <w:rFonts w:ascii="Times New Roman"/>
        </w:rPr>
        <w:t>mL</w:t>
      </w:r>
      <w:r>
        <w:rPr>
          <w:rFonts w:hAnsi="宋体"/>
          <w:szCs w:val="21"/>
        </w:rPr>
        <w:t>聚</w:t>
      </w:r>
      <w:r>
        <w:rPr>
          <w:rFonts w:hint="eastAsia" w:hAnsi="宋体"/>
          <w:szCs w:val="21"/>
        </w:rPr>
        <w:t>丙</w:t>
      </w:r>
      <w:r>
        <w:rPr>
          <w:rFonts w:hAnsi="宋体"/>
          <w:szCs w:val="21"/>
        </w:rPr>
        <w:t xml:space="preserve">烯离心管中，依次加入100 </w:t>
      </w:r>
      <w:r>
        <w:rPr>
          <w:rFonts w:ascii="Times New Roman"/>
          <w:szCs w:val="21"/>
        </w:rPr>
        <w:t>μL</w:t>
      </w:r>
      <w:r>
        <w:rPr>
          <w:rFonts w:hAnsi="宋体"/>
          <w:szCs w:val="21"/>
        </w:rPr>
        <w:t>混合稳定同位素内标使用溶液</w:t>
      </w:r>
      <w:r>
        <w:rPr>
          <w:rFonts w:hint="eastAsia" w:hAnsi="宋体"/>
          <w:szCs w:val="21"/>
        </w:rPr>
        <w:t>（相当于</w:t>
      </w:r>
      <w:r>
        <w:rPr>
          <w:rFonts w:hAnsi="宋体"/>
          <w:szCs w:val="21"/>
        </w:rPr>
        <w:t>10.0</w:t>
      </w:r>
      <w:r>
        <w:rPr>
          <w:rFonts w:ascii="Times New Roman"/>
          <w:szCs w:val="21"/>
        </w:rPr>
        <w:t xml:space="preserve"> ng</w:t>
      </w:r>
      <w:r>
        <w:rPr>
          <w:rFonts w:hint="eastAsia" w:hAnsi="宋体"/>
          <w:szCs w:val="21"/>
        </w:rPr>
        <w:t>）</w:t>
      </w:r>
      <w:r>
        <w:rPr>
          <w:rFonts w:hint="eastAsia" w:hAnsi="宋体"/>
          <w:szCs w:val="21"/>
          <w:highlight w:val="yellow"/>
        </w:rPr>
        <w:t>（</w:t>
      </w:r>
      <w:r>
        <w:rPr>
          <w:rFonts w:hAnsi="宋体"/>
          <w:szCs w:val="21"/>
          <w:highlight w:val="yellow"/>
        </w:rPr>
        <w:t>5.12</w:t>
      </w:r>
      <w:r>
        <w:rPr>
          <w:rFonts w:hint="eastAsia" w:hAnsi="宋体"/>
          <w:szCs w:val="21"/>
          <w:highlight w:val="yellow"/>
        </w:rPr>
        <w:t>）</w:t>
      </w:r>
      <w:r>
        <w:rPr>
          <w:rFonts w:hint="eastAsia" w:hAnsi="宋体"/>
          <w:szCs w:val="21"/>
        </w:rPr>
        <w:t>，</w:t>
      </w:r>
      <w:r>
        <w:rPr>
          <w:rFonts w:hAnsi="宋体"/>
          <w:szCs w:val="21"/>
        </w:rPr>
        <w:t xml:space="preserve">0.5 </w:t>
      </w:r>
      <w:r>
        <w:rPr>
          <w:rFonts w:ascii="Times New Roman"/>
        </w:rPr>
        <w:t>mL</w:t>
      </w:r>
      <w:r>
        <w:rPr>
          <w:rFonts w:hAnsi="宋体"/>
          <w:szCs w:val="21"/>
        </w:rPr>
        <w:t>乙酸</w:t>
      </w:r>
      <w:r>
        <w:rPr>
          <w:rFonts w:hint="eastAsia" w:hAnsi="宋体"/>
          <w:szCs w:val="21"/>
        </w:rPr>
        <w:t>钠</w:t>
      </w:r>
      <w:r>
        <w:rPr>
          <w:rFonts w:hAnsi="宋体"/>
          <w:szCs w:val="21"/>
        </w:rPr>
        <w:t>溶液</w:t>
      </w:r>
      <w:r>
        <w:rPr>
          <w:rFonts w:hint="eastAsia" w:hAnsi="宋体"/>
          <w:szCs w:val="21"/>
          <w:highlight w:val="yellow"/>
        </w:rPr>
        <w:t>（</w:t>
      </w:r>
      <w:r>
        <w:rPr>
          <w:rFonts w:hAnsi="宋体"/>
          <w:szCs w:val="21"/>
          <w:highlight w:val="yellow"/>
        </w:rPr>
        <w:t>5.7</w:t>
      </w:r>
      <w:r>
        <w:rPr>
          <w:rFonts w:hint="eastAsia" w:hAnsi="宋体"/>
          <w:szCs w:val="21"/>
          <w:highlight w:val="yellow"/>
        </w:rPr>
        <w:t>）</w:t>
      </w:r>
      <w:r>
        <w:rPr>
          <w:rFonts w:hint="eastAsia" w:hAnsi="宋体"/>
          <w:szCs w:val="21"/>
        </w:rPr>
        <w:t>和</w:t>
      </w:r>
      <w:r>
        <w:rPr>
          <w:rFonts w:hAnsi="宋体"/>
          <w:szCs w:val="21"/>
        </w:rPr>
        <w:t xml:space="preserve">15 </w:t>
      </w:r>
      <w:r>
        <w:rPr>
          <w:rFonts w:ascii="Times New Roman"/>
          <w:szCs w:val="21"/>
        </w:rPr>
        <w:t>μL</w:t>
      </w:r>
      <w:r>
        <w:rPr>
          <w:rFonts w:hAnsi="宋体"/>
          <w:szCs w:val="21"/>
        </w:rPr>
        <w:t xml:space="preserve"> </w:t>
      </w:r>
      <w:r>
        <w:rPr>
          <w:rFonts w:ascii="Times New Roman"/>
          <w:i/>
          <w:szCs w:val="21"/>
        </w:rPr>
        <w:t>β</w:t>
      </w:r>
      <w:r>
        <w:rPr>
          <w:rFonts w:hAnsi="宋体"/>
          <w:szCs w:val="21"/>
        </w:rPr>
        <w:t>-葡萄糖醛酸酶</w:t>
      </w:r>
      <w:r>
        <w:rPr>
          <w:rFonts w:hint="eastAsia" w:hAnsi="宋体"/>
          <w:szCs w:val="21"/>
          <w:highlight w:val="yellow"/>
        </w:rPr>
        <w:t>（</w:t>
      </w:r>
      <w:r>
        <w:rPr>
          <w:rFonts w:hAnsi="宋体"/>
          <w:szCs w:val="21"/>
          <w:highlight w:val="yellow"/>
        </w:rPr>
        <w:t>5.6</w:t>
      </w:r>
      <w:r>
        <w:rPr>
          <w:rFonts w:hint="eastAsia" w:hAnsi="宋体"/>
          <w:szCs w:val="21"/>
          <w:highlight w:val="yellow"/>
        </w:rPr>
        <w:t>）</w:t>
      </w:r>
      <w:r>
        <w:rPr>
          <w:rFonts w:hAnsi="宋体"/>
          <w:szCs w:val="21"/>
        </w:rPr>
        <w:t>，在</w:t>
      </w:r>
      <w:r>
        <w:rPr>
          <w:rFonts w:hint="eastAsia" w:hAnsi="宋体"/>
          <w:szCs w:val="21"/>
        </w:rPr>
        <w:t>涡</w:t>
      </w:r>
      <w:r>
        <w:rPr>
          <w:rFonts w:hAnsi="宋体"/>
          <w:szCs w:val="21"/>
        </w:rPr>
        <w:t>旋混匀器上充分振荡</w:t>
      </w:r>
      <w:r>
        <w:rPr>
          <w:rFonts w:hint="eastAsia" w:hAnsi="宋体"/>
          <w:szCs w:val="21"/>
        </w:rPr>
        <w:t>，</w:t>
      </w:r>
      <w:r>
        <w:rPr>
          <w:rFonts w:hAnsi="宋体"/>
          <w:szCs w:val="21"/>
        </w:rPr>
        <w:t>置于37℃水浴</w:t>
      </w:r>
      <w:r>
        <w:rPr>
          <w:rFonts w:hint="eastAsia" w:hAnsi="宋体"/>
          <w:szCs w:val="21"/>
        </w:rPr>
        <w:t>酶</w:t>
      </w:r>
      <w:r>
        <w:rPr>
          <w:rFonts w:hAnsi="宋体"/>
          <w:szCs w:val="21"/>
        </w:rPr>
        <w:t>解</w:t>
      </w:r>
      <w:r>
        <w:rPr>
          <w:rFonts w:hint="eastAsia" w:hAnsi="宋体"/>
          <w:szCs w:val="21"/>
        </w:rPr>
        <w:t>1</w:t>
      </w:r>
      <w:r>
        <w:rPr>
          <w:rFonts w:hAnsi="宋体"/>
          <w:szCs w:val="21"/>
        </w:rPr>
        <w:t>2 h</w:t>
      </w:r>
      <w:r>
        <w:rPr>
          <w:rFonts w:hint="eastAsia" w:hAnsi="宋体"/>
          <w:szCs w:val="21"/>
        </w:rPr>
        <w:t>，</w:t>
      </w:r>
      <w:r>
        <w:rPr>
          <w:rFonts w:hAnsi="宋体"/>
          <w:szCs w:val="21"/>
        </w:rPr>
        <w:t>取出</w:t>
      </w:r>
      <w:r>
        <w:rPr>
          <w:rFonts w:hint="eastAsia" w:hAnsi="宋体"/>
          <w:szCs w:val="21"/>
        </w:rPr>
        <w:t>冷却</w:t>
      </w:r>
      <w:r>
        <w:rPr>
          <w:rFonts w:hAnsi="宋体"/>
          <w:szCs w:val="21"/>
        </w:rPr>
        <w:t>至室温。</w:t>
      </w:r>
      <w:r>
        <w:rPr>
          <w:rFonts w:hint="eastAsia" w:hAnsi="宋体"/>
          <w:szCs w:val="21"/>
        </w:rPr>
        <w:t>置于涡</w:t>
      </w:r>
      <w:r>
        <w:rPr>
          <w:rFonts w:hAnsi="宋体"/>
          <w:szCs w:val="21"/>
        </w:rPr>
        <w:t>旋混匀器上</w:t>
      </w:r>
      <w:r>
        <w:rPr>
          <w:rFonts w:hint="eastAsia" w:hAnsi="宋体"/>
          <w:szCs w:val="21"/>
        </w:rPr>
        <w:t>充分振荡。</w:t>
      </w:r>
      <w:r>
        <w:rPr>
          <w:rFonts w:hAnsi="宋体"/>
          <w:szCs w:val="21"/>
        </w:rPr>
        <w:t xml:space="preserve">离心10 </w:t>
      </w:r>
      <w:r>
        <w:rPr>
          <w:rFonts w:ascii="Times New Roman"/>
        </w:rPr>
        <w:t>min（</w:t>
      </w:r>
      <w:r>
        <w:rPr>
          <w:rFonts w:hint="eastAsia" w:ascii="Times New Roman"/>
        </w:rPr>
        <w:t>≥</w:t>
      </w:r>
      <w:r>
        <w:rPr>
          <w:rFonts w:hint="eastAsia" w:hAnsi="宋体"/>
          <w:szCs w:val="21"/>
        </w:rPr>
        <w:t>1700</w:t>
      </w:r>
      <w:r>
        <w:rPr>
          <w:rFonts w:hAnsi="宋体"/>
          <w:szCs w:val="21"/>
        </w:rPr>
        <w:t xml:space="preserve"> </w:t>
      </w:r>
      <w:r>
        <w:rPr>
          <w:rFonts w:ascii="Times New Roman"/>
          <w:i/>
        </w:rPr>
        <w:t>×g</w:t>
      </w:r>
      <w:r>
        <w:rPr>
          <w:rFonts w:hint="eastAsia" w:ascii="Times New Roman"/>
        </w:rPr>
        <w:t>）</w:t>
      </w:r>
      <w:r>
        <w:rPr>
          <w:rFonts w:hAnsi="宋体"/>
          <w:szCs w:val="21"/>
        </w:rPr>
        <w:t>，取上清液进行固相萃取。</w:t>
      </w:r>
    </w:p>
    <w:p w14:paraId="25E2DEB5">
      <w:pPr>
        <w:pStyle w:val="168"/>
        <w:spacing w:before="120" w:beforeLines="50" w:after="120" w:afterLines="50"/>
        <w:rPr>
          <w:rFonts w:ascii="黑体" w:hAnsi="黑体" w:eastAsia="黑体"/>
        </w:rPr>
      </w:pPr>
      <w:bookmarkStart w:id="132" w:name="_Toc70341308"/>
      <w:r>
        <w:rPr>
          <w:rFonts w:ascii="黑体" w:hAnsi="黑体" w:eastAsia="黑体"/>
        </w:rPr>
        <w:t>固相萃取</w:t>
      </w:r>
      <w:bookmarkEnd w:id="132"/>
    </w:p>
    <w:p w14:paraId="0B867EDA">
      <w:pPr>
        <w:pStyle w:val="168"/>
        <w:numPr>
          <w:ilvl w:val="0"/>
          <w:numId w:val="0"/>
        </w:numPr>
        <w:ind w:firstLine="420" w:firstLineChars="200"/>
        <w:rPr>
          <w:rFonts w:ascii="Times New Roman" w:eastAsiaTheme="minorEastAsia"/>
        </w:rPr>
      </w:pPr>
      <w:r>
        <w:rPr>
          <w:rFonts w:ascii="Times New Roman"/>
          <w:szCs w:val="21"/>
        </w:rPr>
        <w:t>依次用</w:t>
      </w:r>
      <w:r>
        <w:rPr>
          <w:rFonts w:hAnsi="宋体"/>
          <w:szCs w:val="21"/>
        </w:rPr>
        <w:t>3</w:t>
      </w:r>
      <w:r>
        <w:rPr>
          <w:rFonts w:ascii="Times New Roman"/>
          <w:szCs w:val="21"/>
        </w:rPr>
        <w:t xml:space="preserve"> </w:t>
      </w:r>
      <w:r>
        <w:rPr>
          <w:rFonts w:ascii="Times New Roman"/>
        </w:rPr>
        <w:t>mL</w:t>
      </w:r>
      <w:r>
        <w:rPr>
          <w:rFonts w:ascii="Times New Roman"/>
          <w:szCs w:val="21"/>
        </w:rPr>
        <w:t>甲醇和</w:t>
      </w:r>
      <w:r>
        <w:rPr>
          <w:rFonts w:hAnsi="宋体"/>
          <w:szCs w:val="21"/>
        </w:rPr>
        <w:t>3</w:t>
      </w:r>
      <w:r>
        <w:rPr>
          <w:rFonts w:ascii="Times New Roman"/>
          <w:szCs w:val="21"/>
        </w:rPr>
        <w:t xml:space="preserve"> </w:t>
      </w:r>
      <w:r>
        <w:rPr>
          <w:rFonts w:ascii="Times New Roman"/>
        </w:rPr>
        <w:t>mL</w:t>
      </w:r>
      <w:r>
        <w:rPr>
          <w:rFonts w:ascii="Times New Roman"/>
          <w:szCs w:val="21"/>
        </w:rPr>
        <w:t>水活化固相萃取柱；将离心好的上清液</w:t>
      </w:r>
      <w:r>
        <w:rPr>
          <w:rFonts w:hint="eastAsia" w:ascii="Times New Roman"/>
          <w:szCs w:val="21"/>
        </w:rPr>
        <w:t>转移至</w:t>
      </w:r>
      <w:r>
        <w:rPr>
          <w:rFonts w:ascii="Times New Roman"/>
          <w:szCs w:val="21"/>
        </w:rPr>
        <w:t>固相萃取柱。在不加压力的条件下依靠自然重力过柱（上清液的过柱速度约为</w:t>
      </w:r>
      <w:r>
        <w:rPr>
          <w:rFonts w:hAnsi="宋体"/>
          <w:szCs w:val="21"/>
        </w:rPr>
        <w:t>1</w:t>
      </w:r>
      <w:r>
        <w:rPr>
          <w:rFonts w:ascii="Times New Roman"/>
          <w:szCs w:val="21"/>
        </w:rPr>
        <w:t xml:space="preserve"> mL/min）。用</w:t>
      </w:r>
      <w:r>
        <w:rPr>
          <w:rFonts w:hAnsi="宋体"/>
          <w:szCs w:val="21"/>
        </w:rPr>
        <w:t>3</w:t>
      </w:r>
      <w:r>
        <w:rPr>
          <w:rFonts w:ascii="Times New Roman"/>
          <w:szCs w:val="21"/>
        </w:rPr>
        <w:t xml:space="preserve"> mL</w:t>
      </w:r>
      <w:r>
        <w:rPr>
          <w:rFonts w:hAnsi="宋体"/>
          <w:szCs w:val="21"/>
        </w:rPr>
        <w:t>乙酸</w:t>
      </w:r>
      <w:r>
        <w:rPr>
          <w:rFonts w:hint="eastAsia" w:hAnsi="宋体"/>
          <w:szCs w:val="21"/>
        </w:rPr>
        <w:t>甲醇溶液（5.9）</w:t>
      </w:r>
      <w:r>
        <w:rPr>
          <w:rFonts w:ascii="Times New Roman"/>
          <w:szCs w:val="21"/>
        </w:rPr>
        <w:t>淋洗，</w:t>
      </w:r>
      <w:bookmarkStart w:id="133" w:name="OLE_LINK18"/>
      <w:r>
        <w:rPr>
          <w:rFonts w:hint="eastAsia" w:ascii="Times New Roman"/>
          <w:szCs w:val="21"/>
        </w:rPr>
        <w:t>真空</w:t>
      </w:r>
      <w:r>
        <w:rPr>
          <w:rFonts w:ascii="Times New Roman"/>
          <w:szCs w:val="21"/>
        </w:rPr>
        <w:t>抽干</w:t>
      </w:r>
      <w:r>
        <w:rPr>
          <w:rFonts w:hAnsi="宋体"/>
          <w:szCs w:val="21"/>
        </w:rPr>
        <w:t>5</w:t>
      </w:r>
      <w:r>
        <w:rPr>
          <w:rFonts w:ascii="Times New Roman"/>
          <w:szCs w:val="21"/>
        </w:rPr>
        <w:t xml:space="preserve"> min</w:t>
      </w:r>
      <w:bookmarkEnd w:id="133"/>
      <w:r>
        <w:rPr>
          <w:rFonts w:hint="eastAsia" w:ascii="Times New Roman"/>
          <w:szCs w:val="21"/>
        </w:rPr>
        <w:t>去除固相萃取柱中残留水分</w:t>
      </w:r>
      <w:r>
        <w:rPr>
          <w:rFonts w:ascii="Times New Roman"/>
          <w:szCs w:val="21"/>
        </w:rPr>
        <w:t>；</w:t>
      </w:r>
      <w:r>
        <w:rPr>
          <w:rFonts w:hAnsi="宋体"/>
          <w:szCs w:val="21"/>
        </w:rPr>
        <w:t>1</w:t>
      </w:r>
      <w:r>
        <w:rPr>
          <w:rFonts w:ascii="Times New Roman"/>
          <w:szCs w:val="21"/>
        </w:rPr>
        <w:t xml:space="preserve"> mL甲醇溶液缓慢洗脱</w:t>
      </w:r>
      <w:r>
        <w:rPr>
          <w:rFonts w:hint="eastAsia" w:ascii="Times New Roman"/>
          <w:szCs w:val="21"/>
        </w:rPr>
        <w:t>（0.5 mL/min）</w:t>
      </w:r>
      <w:r>
        <w:rPr>
          <w:rFonts w:ascii="Times New Roman"/>
          <w:szCs w:val="21"/>
        </w:rPr>
        <w:t>固相萃取柱，重复</w:t>
      </w:r>
      <w:r>
        <w:rPr>
          <w:rFonts w:hint="eastAsia" w:ascii="Times New Roman"/>
          <w:szCs w:val="21"/>
        </w:rPr>
        <w:t>1mL甲醇</w:t>
      </w:r>
      <w:r>
        <w:rPr>
          <w:rFonts w:ascii="Times New Roman"/>
          <w:szCs w:val="21"/>
        </w:rPr>
        <w:t>洗脱一次；收集洗脱液，</w:t>
      </w:r>
      <w:r>
        <w:rPr>
          <w:rFonts w:hint="eastAsia" w:ascii="Times New Roman"/>
          <w:szCs w:val="21"/>
        </w:rPr>
        <w:t>35℃</w:t>
      </w:r>
      <w:r>
        <w:rPr>
          <w:rFonts w:ascii="Times New Roman"/>
          <w:szCs w:val="21"/>
        </w:rPr>
        <w:t>氮吹至</w:t>
      </w:r>
      <w:r>
        <w:rPr>
          <w:rFonts w:hAnsi="宋体"/>
          <w:szCs w:val="21"/>
        </w:rPr>
        <w:t>500</w:t>
      </w:r>
      <w:r>
        <w:rPr>
          <w:rFonts w:ascii="Times New Roman"/>
          <w:szCs w:val="21"/>
        </w:rPr>
        <w:t xml:space="preserve"> μL，加</w:t>
      </w:r>
      <w:r>
        <w:rPr>
          <w:rFonts w:hAnsi="宋体"/>
          <w:szCs w:val="21"/>
        </w:rPr>
        <w:t xml:space="preserve">100 </w:t>
      </w:r>
      <w:r>
        <w:rPr>
          <w:rFonts w:ascii="Times New Roman"/>
          <w:szCs w:val="21"/>
        </w:rPr>
        <w:t>μL水作为保护剂，再继续</w:t>
      </w:r>
      <w:r>
        <w:rPr>
          <w:rFonts w:hint="eastAsia" w:ascii="Times New Roman"/>
          <w:szCs w:val="21"/>
        </w:rPr>
        <w:t>在35℃条件下</w:t>
      </w:r>
      <w:r>
        <w:rPr>
          <w:rFonts w:ascii="Times New Roman"/>
          <w:szCs w:val="21"/>
        </w:rPr>
        <w:t>氮吹至有机组分挥发至干，加入</w:t>
      </w:r>
      <w:r>
        <w:rPr>
          <w:rFonts w:hAnsi="宋体"/>
          <w:szCs w:val="21"/>
        </w:rPr>
        <w:t>400</w:t>
      </w:r>
      <w:r>
        <w:rPr>
          <w:rFonts w:ascii="Times New Roman"/>
          <w:szCs w:val="21"/>
        </w:rPr>
        <w:t xml:space="preserve"> μL 10%乙腈水；</w:t>
      </w:r>
      <w:r>
        <w:rPr>
          <w:rFonts w:hint="eastAsia" w:ascii="Times New Roman"/>
          <w:szCs w:val="21"/>
        </w:rPr>
        <w:t>过滤膜</w:t>
      </w:r>
      <w:r>
        <w:rPr>
          <w:rFonts w:ascii="Times New Roman"/>
          <w:szCs w:val="21"/>
        </w:rPr>
        <w:t>后测定。</w:t>
      </w:r>
      <w:r>
        <w:rPr>
          <w:rFonts w:ascii="Times New Roman"/>
        </w:rPr>
        <w:t>处理完的样品溶液，</w:t>
      </w:r>
      <w:r>
        <w:rPr>
          <w:rFonts w:hAnsi="宋体"/>
          <w:szCs w:val="21"/>
        </w:rPr>
        <w:t>-20</w:t>
      </w:r>
      <w:r>
        <w:rPr>
          <w:rFonts w:ascii="Times New Roman"/>
          <w:lang w:eastAsia="ja-JP"/>
        </w:rPr>
        <w:t>℃密封避光保存，可稳定</w:t>
      </w:r>
      <w:r>
        <w:rPr>
          <w:rFonts w:hint="eastAsia" w:ascii="Times New Roman"/>
        </w:rPr>
        <w:t>保持</w:t>
      </w:r>
      <w:r>
        <w:rPr>
          <w:rFonts w:hint="eastAsia" w:hAnsi="宋体"/>
          <w:szCs w:val="21"/>
        </w:rPr>
        <w:t>3天</w:t>
      </w:r>
      <w:r>
        <w:rPr>
          <w:rFonts w:ascii="Times New Roman" w:eastAsiaTheme="minorEastAsia"/>
        </w:rPr>
        <w:t>。</w:t>
      </w:r>
    </w:p>
    <w:p w14:paraId="358CB9E6">
      <w:pPr>
        <w:pStyle w:val="108"/>
        <w:spacing w:before="120" w:after="120"/>
        <w:ind w:left="0"/>
      </w:pPr>
      <w:bookmarkStart w:id="134" w:name="_Toc55843021"/>
      <w:bookmarkStart w:id="135" w:name="_Toc76128071"/>
      <w:bookmarkStart w:id="136" w:name="_Toc83893139"/>
      <w:bookmarkStart w:id="137" w:name="_Toc57880291"/>
      <w:bookmarkStart w:id="138" w:name="_Toc70341318"/>
      <w:bookmarkStart w:id="139" w:name="_Toc76128042"/>
      <w:r>
        <w:rPr>
          <w:rFonts w:hint="eastAsia"/>
        </w:rPr>
        <w:t>方法空白</w:t>
      </w:r>
      <w:bookmarkEnd w:id="134"/>
      <w:r>
        <w:rPr>
          <w:rFonts w:hint="eastAsia"/>
        </w:rPr>
        <w:t>试验</w:t>
      </w:r>
      <w:bookmarkEnd w:id="135"/>
      <w:bookmarkEnd w:id="136"/>
      <w:bookmarkEnd w:id="137"/>
      <w:bookmarkEnd w:id="138"/>
      <w:bookmarkEnd w:id="139"/>
    </w:p>
    <w:p w14:paraId="72C46C17">
      <w:pPr>
        <w:pStyle w:val="59"/>
        <w:ind w:firstLine="420"/>
      </w:pPr>
      <w:r>
        <w:t>除不加样</w:t>
      </w:r>
      <w:r>
        <w:rPr>
          <w:rFonts w:hint="eastAsia"/>
        </w:rPr>
        <w:t>本</w:t>
      </w:r>
      <w:r>
        <w:t>外，按</w:t>
      </w:r>
      <w:r>
        <w:rPr>
          <w:rFonts w:hint="eastAsia"/>
        </w:rPr>
        <w:t>分析</w:t>
      </w:r>
      <w:r>
        <w:t>步骤进行</w:t>
      </w:r>
      <w:r>
        <w:rPr>
          <w:rFonts w:hint="eastAsia"/>
        </w:rPr>
        <w:t>方法空白试验</w:t>
      </w:r>
      <w:r>
        <w:t>。</w:t>
      </w:r>
    </w:p>
    <w:p w14:paraId="1E199510">
      <w:pPr>
        <w:pStyle w:val="168"/>
        <w:numPr>
          <w:ilvl w:val="0"/>
          <w:numId w:val="0"/>
        </w:numPr>
        <w:ind w:firstLine="420" w:firstLineChars="200"/>
        <w:rPr>
          <w:rFonts w:ascii="Times New Roman"/>
          <w:szCs w:val="21"/>
        </w:rPr>
      </w:pPr>
    </w:p>
    <w:p w14:paraId="41BD3468">
      <w:pPr>
        <w:pStyle w:val="108"/>
        <w:spacing w:before="120" w:after="120"/>
        <w:ind w:left="0"/>
      </w:pPr>
      <w:bookmarkStart w:id="140" w:name="_Toc76128037"/>
      <w:bookmarkStart w:id="141" w:name="_Toc57880288"/>
      <w:bookmarkStart w:id="142" w:name="_Toc76128068"/>
      <w:bookmarkStart w:id="143" w:name="_Toc70341309"/>
      <w:bookmarkStart w:id="144" w:name="_Toc83893136"/>
      <w:r>
        <w:rPr>
          <w:rFonts w:hint="eastAsia"/>
        </w:rPr>
        <w:t>推荐分析条件</w:t>
      </w:r>
      <w:bookmarkEnd w:id="140"/>
      <w:bookmarkEnd w:id="141"/>
      <w:bookmarkEnd w:id="142"/>
      <w:bookmarkEnd w:id="143"/>
      <w:bookmarkEnd w:id="144"/>
    </w:p>
    <w:p w14:paraId="12905100">
      <w:pPr>
        <w:pStyle w:val="168"/>
        <w:spacing w:before="120" w:beforeLines="50" w:after="120" w:afterLines="50"/>
        <w:rPr>
          <w:rFonts w:ascii="黑体" w:hAnsi="黑体" w:eastAsia="黑体"/>
        </w:rPr>
      </w:pPr>
      <w:bookmarkStart w:id="145" w:name="_Toc70341310"/>
      <w:r>
        <w:rPr>
          <w:rFonts w:hint="eastAsia" w:ascii="黑体" w:hAnsi="黑体" w:eastAsia="黑体"/>
        </w:rPr>
        <w:t>液相色谱参考条件</w:t>
      </w:r>
      <w:bookmarkEnd w:id="145"/>
    </w:p>
    <w:p w14:paraId="458030F6">
      <w:pPr>
        <w:pStyle w:val="177"/>
        <w:ind w:left="844" w:leftChars="200" w:hanging="424" w:hangingChars="202"/>
        <w:rPr>
          <w:rFonts w:hAnsi="宋体"/>
        </w:rPr>
      </w:pPr>
      <w:r>
        <w:rPr>
          <w:rFonts w:hint="eastAsia" w:hAnsi="宋体"/>
        </w:rPr>
        <w:t>色谱柱：C</w:t>
      </w:r>
      <w:r>
        <w:rPr>
          <w:rFonts w:hAnsi="宋体"/>
        </w:rPr>
        <w:t xml:space="preserve">18柱，100 </w:t>
      </w:r>
      <w:r>
        <w:rPr>
          <w:rFonts w:ascii="Times New Roman"/>
        </w:rPr>
        <w:t xml:space="preserve">mm× </w:t>
      </w:r>
      <w:r>
        <w:rPr>
          <w:rFonts w:hAnsi="宋体"/>
        </w:rPr>
        <w:t xml:space="preserve">2.1 </w:t>
      </w:r>
      <w:r>
        <w:rPr>
          <w:rFonts w:ascii="Times New Roman"/>
        </w:rPr>
        <w:t>mm</w:t>
      </w:r>
      <w:r>
        <w:rPr>
          <w:rFonts w:hAnsi="宋体"/>
        </w:rPr>
        <w:t>，</w:t>
      </w:r>
      <w:r>
        <w:rPr>
          <w:rFonts w:hint="eastAsia" w:hAnsi="宋体"/>
        </w:rPr>
        <w:t>粒径</w:t>
      </w:r>
      <w:r>
        <w:rPr>
          <w:rFonts w:hAnsi="宋体"/>
          <w:szCs w:val="21"/>
        </w:rPr>
        <w:t>1.7</w:t>
      </w:r>
      <w:r>
        <w:rPr>
          <w:rFonts w:hAnsi="宋体"/>
        </w:rPr>
        <w:t xml:space="preserve"> </w:t>
      </w:r>
      <w:r>
        <w:rPr>
          <w:rFonts w:ascii="Times New Roman"/>
        </w:rPr>
        <w:t>μm</w:t>
      </w:r>
      <w:r>
        <w:rPr>
          <w:rFonts w:hint="eastAsia" w:hAnsi="宋体"/>
        </w:rPr>
        <w:t>；</w:t>
      </w:r>
      <w:r>
        <w:rPr>
          <w:rFonts w:hAnsi="宋体"/>
        </w:rPr>
        <w:t>或</w:t>
      </w:r>
      <w:r>
        <w:rPr>
          <w:rFonts w:hint="eastAsia" w:hAnsi="宋体"/>
        </w:rPr>
        <w:t>等效色谱柱</w:t>
      </w:r>
      <w:r>
        <w:rPr>
          <w:rFonts w:hAnsi="宋体"/>
        </w:rPr>
        <w:t>。</w:t>
      </w:r>
    </w:p>
    <w:p w14:paraId="61E31D8A">
      <w:pPr>
        <w:pStyle w:val="177"/>
        <w:ind w:left="844" w:leftChars="200" w:hanging="424" w:hangingChars="202"/>
        <w:rPr>
          <w:rFonts w:hAnsi="宋体"/>
        </w:rPr>
      </w:pPr>
      <w:r>
        <w:rPr>
          <w:rFonts w:hAnsi="宋体"/>
          <w:szCs w:val="21"/>
        </w:rPr>
        <w:t>流动相：</w:t>
      </w:r>
      <w:r>
        <w:rPr>
          <w:rFonts w:hAnsi="宋体"/>
          <w:color w:val="000000" w:themeColor="text1"/>
          <w:szCs w:val="21"/>
          <w14:textFill>
            <w14:solidFill>
              <w14:schemeClr w14:val="tx1"/>
            </w14:solidFill>
          </w14:textFill>
        </w:rPr>
        <w:t>乙酸溶液（</w:t>
      </w:r>
      <w:r>
        <w:rPr>
          <w:rFonts w:hAnsi="宋体"/>
          <w:color w:val="000000" w:themeColor="text1"/>
          <w14:textFill>
            <w14:solidFill>
              <w14:schemeClr w14:val="tx1"/>
            </w14:solidFill>
          </w14:textFill>
        </w:rPr>
        <w:t>1+999</w:t>
      </w:r>
      <w:r>
        <w:rPr>
          <w:rFonts w:hint="eastAsia" w:hAnsi="宋体"/>
          <w:color w:val="000000" w:themeColor="text1"/>
          <w14:textFill>
            <w14:solidFill>
              <w14:schemeClr w14:val="tx1"/>
            </w14:solidFill>
          </w14:textFill>
        </w:rPr>
        <w:t>，V/V</w:t>
      </w:r>
      <w:r>
        <w:rPr>
          <w:rFonts w:hint="eastAsia" w:hAnsi="宋体"/>
          <w:color w:val="000000" w:themeColor="text1"/>
          <w:szCs w:val="21"/>
          <w14:textFill>
            <w14:solidFill>
              <w14:schemeClr w14:val="tx1"/>
            </w14:solidFill>
          </w14:textFill>
        </w:rPr>
        <w:t>）为流动相A，</w:t>
      </w:r>
      <w:r>
        <w:rPr>
          <w:rFonts w:hAnsi="宋体"/>
          <w:color w:val="000000" w:themeColor="text1"/>
          <w:szCs w:val="21"/>
          <w14:textFill>
            <w14:solidFill>
              <w14:schemeClr w14:val="tx1"/>
            </w14:solidFill>
          </w14:textFill>
        </w:rPr>
        <w:t>乙酸乙腈溶液（</w:t>
      </w:r>
      <w:r>
        <w:rPr>
          <w:rFonts w:hAnsi="宋体"/>
          <w:color w:val="000000" w:themeColor="text1"/>
          <w14:textFill>
            <w14:solidFill>
              <w14:schemeClr w14:val="tx1"/>
            </w14:solidFill>
          </w14:textFill>
        </w:rPr>
        <w:t>1+999</w:t>
      </w:r>
      <w:r>
        <w:rPr>
          <w:rFonts w:hint="eastAsia" w:hAnsi="宋体"/>
          <w:color w:val="000000" w:themeColor="text1"/>
          <w14:textFill>
            <w14:solidFill>
              <w14:schemeClr w14:val="tx1"/>
            </w14:solidFill>
          </w14:textFill>
        </w:rPr>
        <w:t>,V/V</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为</w:t>
      </w:r>
      <w:r>
        <w:rPr>
          <w:rFonts w:hAnsi="宋体"/>
          <w:color w:val="000000" w:themeColor="text1"/>
          <w:szCs w:val="21"/>
          <w14:textFill>
            <w14:solidFill>
              <w14:schemeClr w14:val="tx1"/>
            </w14:solidFill>
          </w14:textFill>
        </w:rPr>
        <w:t>流动相</w:t>
      </w:r>
      <w:r>
        <w:rPr>
          <w:rFonts w:hint="eastAsia" w:hAnsi="宋体"/>
          <w:color w:val="000000" w:themeColor="text1"/>
          <w:szCs w:val="21"/>
          <w14:textFill>
            <w14:solidFill>
              <w14:schemeClr w14:val="tx1"/>
            </w14:solidFill>
          </w14:textFill>
        </w:rPr>
        <w:t>B</w:t>
      </w:r>
      <w:r>
        <w:rPr>
          <w:rFonts w:hAnsi="宋体"/>
          <w:szCs w:val="21"/>
        </w:rPr>
        <w:t>进行洗脱</w:t>
      </w:r>
      <w:r>
        <w:rPr>
          <w:rFonts w:hint="eastAsia" w:hAnsi="宋体"/>
          <w:szCs w:val="21"/>
        </w:rPr>
        <w:t>，梯度</w:t>
      </w:r>
      <w:r>
        <w:rPr>
          <w:rFonts w:hAnsi="宋体"/>
          <w:szCs w:val="21"/>
        </w:rPr>
        <w:t>程序</w:t>
      </w:r>
      <w:r>
        <w:rPr>
          <w:rFonts w:hint="eastAsia" w:hAnsi="宋体"/>
          <w:szCs w:val="21"/>
        </w:rPr>
        <w:t>见</w:t>
      </w:r>
      <w:r>
        <w:rPr>
          <w:rFonts w:hAnsi="宋体"/>
          <w:szCs w:val="21"/>
        </w:rPr>
        <w:t>表1。</w:t>
      </w:r>
    </w:p>
    <w:p w14:paraId="60F11E9B">
      <w:pPr>
        <w:pStyle w:val="177"/>
        <w:ind w:left="844" w:leftChars="200" w:hanging="424" w:hangingChars="202"/>
        <w:rPr>
          <w:rFonts w:hAnsi="宋体"/>
        </w:rPr>
      </w:pPr>
      <w:r>
        <w:rPr>
          <w:rFonts w:hAnsi="宋体"/>
          <w:szCs w:val="21"/>
        </w:rPr>
        <w:t xml:space="preserve">流速：0.3 </w:t>
      </w:r>
      <w:r>
        <w:rPr>
          <w:rFonts w:ascii="Times New Roman"/>
        </w:rPr>
        <w:t>mL/min</w:t>
      </w:r>
      <w:r>
        <w:rPr>
          <w:rFonts w:hAnsi="宋体"/>
          <w:szCs w:val="21"/>
        </w:rPr>
        <w:t>。</w:t>
      </w:r>
    </w:p>
    <w:p w14:paraId="1D301A98">
      <w:pPr>
        <w:pStyle w:val="177"/>
        <w:ind w:left="844" w:leftChars="200" w:hanging="424" w:hangingChars="202"/>
        <w:rPr>
          <w:rFonts w:hAnsi="宋体"/>
        </w:rPr>
      </w:pPr>
      <w:r>
        <w:rPr>
          <w:rFonts w:hAnsi="宋体"/>
          <w:szCs w:val="21"/>
        </w:rPr>
        <w:t>柱温：40℃。</w:t>
      </w:r>
    </w:p>
    <w:p w14:paraId="5978FD7A">
      <w:pPr>
        <w:pStyle w:val="177"/>
        <w:ind w:left="844" w:leftChars="200" w:hanging="424" w:hangingChars="202"/>
        <w:rPr>
          <w:rFonts w:hAnsi="宋体"/>
        </w:rPr>
      </w:pPr>
      <w:r>
        <w:rPr>
          <w:rFonts w:hAnsi="宋体"/>
          <w:szCs w:val="21"/>
        </w:rPr>
        <w:t xml:space="preserve">进样量：10 </w:t>
      </w:r>
      <w:r>
        <w:rPr>
          <w:rFonts w:ascii="Times New Roman"/>
          <w:szCs w:val="21"/>
        </w:rPr>
        <w:t>μ</w:t>
      </w:r>
      <w:r>
        <w:rPr>
          <w:rFonts w:ascii="Times New Roman"/>
        </w:rPr>
        <w:t>L</w:t>
      </w:r>
      <w:r>
        <w:rPr>
          <w:rFonts w:hAnsi="宋体"/>
          <w:szCs w:val="21"/>
        </w:rPr>
        <w:t>。</w:t>
      </w:r>
    </w:p>
    <w:p w14:paraId="3599A305">
      <w:pPr>
        <w:pStyle w:val="115"/>
        <w:spacing w:before="120" w:after="120"/>
      </w:pPr>
      <w:r>
        <w:rPr>
          <w:rFonts w:hint="eastAsia"/>
        </w:rPr>
        <w:t>液相色谱梯度程序</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4"/>
        <w:gridCol w:w="3112"/>
        <w:gridCol w:w="1838"/>
      </w:tblGrid>
      <w:tr w14:paraId="5CC7B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54" w:type="dxa"/>
            <w:tcBorders>
              <w:top w:val="single" w:color="auto" w:sz="8" w:space="0"/>
              <w:bottom w:val="single" w:color="auto" w:sz="8" w:space="0"/>
            </w:tcBorders>
            <w:shd w:val="clear" w:color="auto" w:fill="auto"/>
            <w:vAlign w:val="center"/>
          </w:tcPr>
          <w:p w14:paraId="620FC5F1">
            <w:pPr>
              <w:pStyle w:val="181"/>
              <w:rPr>
                <w:rFonts w:hAnsi="宋体"/>
              </w:rPr>
            </w:pPr>
            <w:r>
              <w:rPr>
                <w:rFonts w:hAnsi="宋体"/>
              </w:rPr>
              <w:t>时间</w:t>
            </w:r>
            <w:r>
              <w:rPr>
                <w:rFonts w:hint="eastAsia" w:hAnsi="宋体"/>
              </w:rPr>
              <w:t xml:space="preserve"> </w:t>
            </w:r>
            <w:r>
              <w:rPr>
                <w:rFonts w:hAnsi="宋体"/>
              </w:rPr>
              <w:t xml:space="preserve">/ </w:t>
            </w:r>
            <w:r>
              <w:rPr>
                <w:rFonts w:ascii="Times New Roman"/>
                <w:szCs w:val="18"/>
              </w:rPr>
              <w:t>min</w:t>
            </w:r>
          </w:p>
        </w:tc>
        <w:tc>
          <w:tcPr>
            <w:tcW w:w="3112" w:type="dxa"/>
            <w:tcBorders>
              <w:top w:val="single" w:color="auto" w:sz="8" w:space="0"/>
              <w:bottom w:val="single" w:color="auto" w:sz="8" w:space="0"/>
            </w:tcBorders>
            <w:shd w:val="clear" w:color="auto" w:fill="auto"/>
            <w:vAlign w:val="center"/>
          </w:tcPr>
          <w:p w14:paraId="12299834">
            <w:pPr>
              <w:pStyle w:val="181"/>
              <w:rPr>
                <w:rFonts w:hAnsi="宋体"/>
              </w:rPr>
            </w:pPr>
            <w:r>
              <w:rPr>
                <w:rFonts w:ascii="Times New Roman"/>
                <w:szCs w:val="18"/>
              </w:rPr>
              <w:t>A</w:t>
            </w:r>
            <w:r>
              <w:rPr>
                <w:rFonts w:hAnsi="宋体"/>
              </w:rPr>
              <w:t>（</w:t>
            </w:r>
            <w:r>
              <w:rPr>
                <w:rFonts w:ascii="Times New Roman"/>
                <w:szCs w:val="18"/>
              </w:rPr>
              <w:t>V</w:t>
            </w:r>
            <w:r>
              <w:rPr>
                <w:rFonts w:hAnsi="宋体"/>
              </w:rPr>
              <w:t>%）</w:t>
            </w:r>
          </w:p>
        </w:tc>
        <w:tc>
          <w:tcPr>
            <w:tcW w:w="1838" w:type="dxa"/>
            <w:tcBorders>
              <w:top w:val="single" w:color="auto" w:sz="8" w:space="0"/>
              <w:bottom w:val="single" w:color="auto" w:sz="8" w:space="0"/>
            </w:tcBorders>
            <w:shd w:val="clear" w:color="auto" w:fill="auto"/>
            <w:vAlign w:val="center"/>
          </w:tcPr>
          <w:p w14:paraId="60C0BAB6">
            <w:pPr>
              <w:pStyle w:val="181"/>
              <w:rPr>
                <w:rFonts w:hAnsi="宋体"/>
              </w:rPr>
            </w:pPr>
            <w:r>
              <w:rPr>
                <w:rFonts w:ascii="Times New Roman"/>
                <w:szCs w:val="18"/>
              </w:rPr>
              <w:t>B</w:t>
            </w:r>
            <w:r>
              <w:rPr>
                <w:rFonts w:hAnsi="宋体"/>
              </w:rPr>
              <w:t>（</w:t>
            </w:r>
            <w:r>
              <w:rPr>
                <w:rFonts w:ascii="Times New Roman"/>
                <w:szCs w:val="18"/>
              </w:rPr>
              <w:t>V</w:t>
            </w:r>
            <w:r>
              <w:rPr>
                <w:rFonts w:hAnsi="宋体"/>
              </w:rPr>
              <w:t>%）</w:t>
            </w:r>
          </w:p>
        </w:tc>
      </w:tr>
      <w:tr w14:paraId="2EC6B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tcBorders>
              <w:top w:val="single" w:color="auto" w:sz="8" w:space="0"/>
            </w:tcBorders>
            <w:shd w:val="clear" w:color="auto" w:fill="auto"/>
            <w:vAlign w:val="center"/>
          </w:tcPr>
          <w:p w14:paraId="75DD2056">
            <w:pPr>
              <w:pStyle w:val="181"/>
              <w:rPr>
                <w:rFonts w:hAnsi="宋体"/>
              </w:rPr>
            </w:pPr>
            <w:r>
              <w:rPr>
                <w:rFonts w:hAnsi="宋体"/>
              </w:rPr>
              <w:t>0.0</w:t>
            </w:r>
          </w:p>
        </w:tc>
        <w:tc>
          <w:tcPr>
            <w:tcW w:w="3112" w:type="dxa"/>
            <w:tcBorders>
              <w:top w:val="single" w:color="auto" w:sz="8" w:space="0"/>
            </w:tcBorders>
            <w:shd w:val="clear" w:color="auto" w:fill="auto"/>
            <w:vAlign w:val="center"/>
          </w:tcPr>
          <w:p w14:paraId="3F2E6732">
            <w:pPr>
              <w:pStyle w:val="181"/>
              <w:rPr>
                <w:rFonts w:hAnsi="宋体"/>
              </w:rPr>
            </w:pPr>
            <w:r>
              <w:rPr>
                <w:rFonts w:hAnsi="宋体"/>
              </w:rPr>
              <w:t>95</w:t>
            </w:r>
          </w:p>
        </w:tc>
        <w:tc>
          <w:tcPr>
            <w:tcW w:w="1838" w:type="dxa"/>
            <w:tcBorders>
              <w:top w:val="single" w:color="auto" w:sz="8" w:space="0"/>
            </w:tcBorders>
            <w:shd w:val="clear" w:color="auto" w:fill="auto"/>
            <w:vAlign w:val="center"/>
          </w:tcPr>
          <w:p w14:paraId="7239CEFD">
            <w:pPr>
              <w:pStyle w:val="181"/>
              <w:rPr>
                <w:rFonts w:hAnsi="宋体"/>
              </w:rPr>
            </w:pPr>
            <w:r>
              <w:rPr>
                <w:rFonts w:hAnsi="宋体"/>
              </w:rPr>
              <w:t>5</w:t>
            </w:r>
          </w:p>
        </w:tc>
      </w:tr>
      <w:tr w14:paraId="1A3AA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shd w:val="clear" w:color="auto" w:fill="auto"/>
            <w:vAlign w:val="center"/>
          </w:tcPr>
          <w:p w14:paraId="18E79451">
            <w:pPr>
              <w:pStyle w:val="181"/>
              <w:rPr>
                <w:rFonts w:hAnsi="宋体"/>
              </w:rPr>
            </w:pPr>
            <w:r>
              <w:rPr>
                <w:rFonts w:hint="eastAsia" w:hAnsi="宋体"/>
              </w:rPr>
              <w:t>1</w:t>
            </w:r>
            <w:r>
              <w:rPr>
                <w:rFonts w:hAnsi="宋体"/>
              </w:rPr>
              <w:t>.0</w:t>
            </w:r>
          </w:p>
        </w:tc>
        <w:tc>
          <w:tcPr>
            <w:tcW w:w="3112" w:type="dxa"/>
            <w:shd w:val="clear" w:color="auto" w:fill="auto"/>
            <w:vAlign w:val="center"/>
          </w:tcPr>
          <w:p w14:paraId="0731B2CF">
            <w:pPr>
              <w:pStyle w:val="181"/>
              <w:rPr>
                <w:rFonts w:hAnsi="宋体"/>
              </w:rPr>
            </w:pPr>
            <w:r>
              <w:rPr>
                <w:rFonts w:hAnsi="宋体"/>
              </w:rPr>
              <w:t>95</w:t>
            </w:r>
          </w:p>
        </w:tc>
        <w:tc>
          <w:tcPr>
            <w:tcW w:w="1838" w:type="dxa"/>
            <w:shd w:val="clear" w:color="auto" w:fill="auto"/>
            <w:vAlign w:val="center"/>
          </w:tcPr>
          <w:p w14:paraId="18A55856">
            <w:pPr>
              <w:pStyle w:val="181"/>
              <w:rPr>
                <w:rFonts w:hAnsi="宋体"/>
              </w:rPr>
            </w:pPr>
            <w:r>
              <w:rPr>
                <w:rFonts w:hAnsi="宋体"/>
              </w:rPr>
              <w:t>5</w:t>
            </w:r>
          </w:p>
        </w:tc>
      </w:tr>
      <w:tr w14:paraId="1A654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shd w:val="clear" w:color="auto" w:fill="auto"/>
            <w:vAlign w:val="center"/>
          </w:tcPr>
          <w:p w14:paraId="57A6AACB">
            <w:pPr>
              <w:pStyle w:val="181"/>
              <w:rPr>
                <w:rFonts w:hAnsi="宋体"/>
              </w:rPr>
            </w:pPr>
            <w:r>
              <w:rPr>
                <w:rFonts w:hAnsi="宋体"/>
              </w:rPr>
              <w:t>2.0</w:t>
            </w:r>
          </w:p>
        </w:tc>
        <w:tc>
          <w:tcPr>
            <w:tcW w:w="3112" w:type="dxa"/>
            <w:shd w:val="clear" w:color="auto" w:fill="auto"/>
            <w:vAlign w:val="center"/>
          </w:tcPr>
          <w:p w14:paraId="2FF31500">
            <w:pPr>
              <w:pStyle w:val="181"/>
              <w:rPr>
                <w:rFonts w:hAnsi="宋体"/>
              </w:rPr>
            </w:pPr>
            <w:r>
              <w:rPr>
                <w:rFonts w:hAnsi="宋体"/>
              </w:rPr>
              <w:t>80</w:t>
            </w:r>
          </w:p>
        </w:tc>
        <w:tc>
          <w:tcPr>
            <w:tcW w:w="1838" w:type="dxa"/>
            <w:shd w:val="clear" w:color="auto" w:fill="auto"/>
            <w:vAlign w:val="center"/>
          </w:tcPr>
          <w:p w14:paraId="1B796004">
            <w:pPr>
              <w:pStyle w:val="181"/>
              <w:rPr>
                <w:rFonts w:hAnsi="宋体"/>
              </w:rPr>
            </w:pPr>
            <w:r>
              <w:rPr>
                <w:rFonts w:hAnsi="宋体"/>
              </w:rPr>
              <w:t>20</w:t>
            </w:r>
          </w:p>
        </w:tc>
      </w:tr>
      <w:tr w14:paraId="59290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shd w:val="clear" w:color="auto" w:fill="auto"/>
            <w:vAlign w:val="center"/>
          </w:tcPr>
          <w:p w14:paraId="3AD7A5D3">
            <w:pPr>
              <w:pStyle w:val="181"/>
              <w:rPr>
                <w:rFonts w:hAnsi="宋体"/>
              </w:rPr>
            </w:pPr>
            <w:r>
              <w:rPr>
                <w:rFonts w:hAnsi="宋体"/>
              </w:rPr>
              <w:t>4.0</w:t>
            </w:r>
          </w:p>
        </w:tc>
        <w:tc>
          <w:tcPr>
            <w:tcW w:w="3112" w:type="dxa"/>
            <w:shd w:val="clear" w:color="auto" w:fill="auto"/>
            <w:vAlign w:val="center"/>
          </w:tcPr>
          <w:p w14:paraId="7E017135">
            <w:pPr>
              <w:pStyle w:val="181"/>
              <w:rPr>
                <w:rFonts w:hAnsi="宋体"/>
              </w:rPr>
            </w:pPr>
            <w:r>
              <w:rPr>
                <w:rFonts w:hAnsi="宋体"/>
              </w:rPr>
              <w:t>80</w:t>
            </w:r>
          </w:p>
        </w:tc>
        <w:tc>
          <w:tcPr>
            <w:tcW w:w="1838" w:type="dxa"/>
            <w:shd w:val="clear" w:color="auto" w:fill="auto"/>
            <w:vAlign w:val="center"/>
          </w:tcPr>
          <w:p w14:paraId="1860EB21">
            <w:pPr>
              <w:pStyle w:val="181"/>
              <w:rPr>
                <w:rFonts w:hAnsi="宋体"/>
              </w:rPr>
            </w:pPr>
            <w:r>
              <w:rPr>
                <w:rFonts w:hAnsi="宋体"/>
              </w:rPr>
              <w:t>20</w:t>
            </w:r>
          </w:p>
        </w:tc>
      </w:tr>
      <w:tr w14:paraId="621CD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shd w:val="clear" w:color="auto" w:fill="auto"/>
            <w:vAlign w:val="center"/>
          </w:tcPr>
          <w:p w14:paraId="152FDFD2">
            <w:pPr>
              <w:pStyle w:val="181"/>
              <w:rPr>
                <w:rFonts w:hAnsi="宋体"/>
              </w:rPr>
            </w:pPr>
            <w:r>
              <w:rPr>
                <w:rFonts w:hAnsi="宋体"/>
              </w:rPr>
              <w:t>5.0</w:t>
            </w:r>
          </w:p>
        </w:tc>
        <w:tc>
          <w:tcPr>
            <w:tcW w:w="3112" w:type="dxa"/>
            <w:shd w:val="clear" w:color="auto" w:fill="auto"/>
            <w:vAlign w:val="center"/>
          </w:tcPr>
          <w:p w14:paraId="68AA3176">
            <w:pPr>
              <w:pStyle w:val="181"/>
              <w:rPr>
                <w:rFonts w:hAnsi="宋体"/>
              </w:rPr>
            </w:pPr>
            <w:r>
              <w:rPr>
                <w:rFonts w:hAnsi="宋体"/>
              </w:rPr>
              <w:t>60</w:t>
            </w:r>
          </w:p>
        </w:tc>
        <w:tc>
          <w:tcPr>
            <w:tcW w:w="1838" w:type="dxa"/>
            <w:shd w:val="clear" w:color="auto" w:fill="auto"/>
            <w:vAlign w:val="center"/>
          </w:tcPr>
          <w:p w14:paraId="64386238">
            <w:pPr>
              <w:pStyle w:val="181"/>
              <w:rPr>
                <w:rFonts w:hAnsi="宋体"/>
              </w:rPr>
            </w:pPr>
            <w:r>
              <w:rPr>
                <w:rFonts w:hAnsi="宋体"/>
              </w:rPr>
              <w:t>40</w:t>
            </w:r>
          </w:p>
        </w:tc>
      </w:tr>
      <w:tr w14:paraId="752FD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54" w:type="dxa"/>
            <w:shd w:val="clear" w:color="auto" w:fill="auto"/>
            <w:vAlign w:val="center"/>
          </w:tcPr>
          <w:p w14:paraId="08508CBB">
            <w:pPr>
              <w:pStyle w:val="181"/>
              <w:rPr>
                <w:rFonts w:hAnsi="宋体"/>
              </w:rPr>
            </w:pPr>
            <w:r>
              <w:rPr>
                <w:rFonts w:hAnsi="宋体"/>
              </w:rPr>
              <w:t>7</w:t>
            </w:r>
            <w:r>
              <w:rPr>
                <w:rFonts w:hint="eastAsia" w:hAnsi="宋体"/>
              </w:rPr>
              <w:t>.</w:t>
            </w:r>
            <w:r>
              <w:rPr>
                <w:rFonts w:hAnsi="宋体"/>
              </w:rPr>
              <w:t>0</w:t>
            </w:r>
          </w:p>
        </w:tc>
        <w:tc>
          <w:tcPr>
            <w:tcW w:w="3112" w:type="dxa"/>
            <w:shd w:val="clear" w:color="auto" w:fill="auto"/>
            <w:vAlign w:val="center"/>
          </w:tcPr>
          <w:p w14:paraId="1533A200">
            <w:pPr>
              <w:pStyle w:val="181"/>
              <w:rPr>
                <w:rFonts w:hAnsi="宋体"/>
              </w:rPr>
            </w:pPr>
            <w:r>
              <w:rPr>
                <w:rFonts w:hAnsi="宋体"/>
              </w:rPr>
              <w:t>60</w:t>
            </w:r>
          </w:p>
        </w:tc>
        <w:tc>
          <w:tcPr>
            <w:tcW w:w="1838" w:type="dxa"/>
            <w:shd w:val="clear" w:color="auto" w:fill="auto"/>
            <w:vAlign w:val="center"/>
          </w:tcPr>
          <w:p w14:paraId="78DA9916">
            <w:pPr>
              <w:pStyle w:val="181"/>
              <w:rPr>
                <w:rFonts w:hAnsi="宋体"/>
              </w:rPr>
            </w:pPr>
            <w:r>
              <w:rPr>
                <w:rFonts w:hAnsi="宋体"/>
              </w:rPr>
              <w:t>40</w:t>
            </w:r>
          </w:p>
        </w:tc>
      </w:tr>
      <w:tr w14:paraId="4EDA3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shd w:val="clear" w:color="auto" w:fill="auto"/>
            <w:vAlign w:val="center"/>
          </w:tcPr>
          <w:p w14:paraId="5E0648B9">
            <w:pPr>
              <w:pStyle w:val="181"/>
              <w:rPr>
                <w:rFonts w:hAnsi="宋体"/>
              </w:rPr>
            </w:pPr>
            <w:r>
              <w:rPr>
                <w:rFonts w:hAnsi="宋体"/>
              </w:rPr>
              <w:t>8.0</w:t>
            </w:r>
          </w:p>
        </w:tc>
        <w:tc>
          <w:tcPr>
            <w:tcW w:w="3112" w:type="dxa"/>
            <w:shd w:val="clear" w:color="auto" w:fill="auto"/>
            <w:vAlign w:val="center"/>
          </w:tcPr>
          <w:p w14:paraId="3220BE1F">
            <w:pPr>
              <w:pStyle w:val="181"/>
              <w:rPr>
                <w:rFonts w:hAnsi="宋体"/>
              </w:rPr>
            </w:pPr>
            <w:r>
              <w:rPr>
                <w:rFonts w:hint="eastAsia" w:hAnsi="宋体"/>
              </w:rPr>
              <w:t>5</w:t>
            </w:r>
            <w:r>
              <w:rPr>
                <w:rFonts w:hAnsi="宋体"/>
              </w:rPr>
              <w:t>0</w:t>
            </w:r>
          </w:p>
        </w:tc>
        <w:tc>
          <w:tcPr>
            <w:tcW w:w="1838" w:type="dxa"/>
            <w:shd w:val="clear" w:color="auto" w:fill="auto"/>
            <w:vAlign w:val="center"/>
          </w:tcPr>
          <w:p w14:paraId="2D2A67BB">
            <w:pPr>
              <w:pStyle w:val="181"/>
              <w:rPr>
                <w:rFonts w:hAnsi="宋体"/>
              </w:rPr>
            </w:pPr>
            <w:r>
              <w:rPr>
                <w:rFonts w:hint="eastAsia" w:hAnsi="宋体"/>
              </w:rPr>
              <w:t>5</w:t>
            </w:r>
            <w:r>
              <w:rPr>
                <w:rFonts w:hAnsi="宋体"/>
              </w:rPr>
              <w:t>0</w:t>
            </w:r>
          </w:p>
        </w:tc>
      </w:tr>
      <w:tr w14:paraId="5CB13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shd w:val="clear" w:color="auto" w:fill="auto"/>
            <w:vAlign w:val="center"/>
          </w:tcPr>
          <w:p w14:paraId="53CFA51C">
            <w:pPr>
              <w:pStyle w:val="181"/>
              <w:rPr>
                <w:rFonts w:hAnsi="宋体"/>
              </w:rPr>
            </w:pPr>
            <w:r>
              <w:rPr>
                <w:rFonts w:hint="eastAsia" w:hAnsi="宋体"/>
              </w:rPr>
              <w:t>1</w:t>
            </w:r>
            <w:r>
              <w:rPr>
                <w:rFonts w:hAnsi="宋体"/>
              </w:rPr>
              <w:t>0.0</w:t>
            </w:r>
          </w:p>
        </w:tc>
        <w:tc>
          <w:tcPr>
            <w:tcW w:w="3112" w:type="dxa"/>
            <w:shd w:val="clear" w:color="auto" w:fill="auto"/>
            <w:vAlign w:val="center"/>
          </w:tcPr>
          <w:p w14:paraId="5FFE0A32">
            <w:pPr>
              <w:pStyle w:val="181"/>
              <w:rPr>
                <w:rFonts w:hAnsi="宋体"/>
              </w:rPr>
            </w:pPr>
            <w:r>
              <w:rPr>
                <w:rFonts w:hint="eastAsia" w:hAnsi="宋体"/>
              </w:rPr>
              <w:t>5</w:t>
            </w:r>
            <w:r>
              <w:rPr>
                <w:rFonts w:hAnsi="宋体"/>
              </w:rPr>
              <w:t>0</w:t>
            </w:r>
          </w:p>
        </w:tc>
        <w:tc>
          <w:tcPr>
            <w:tcW w:w="1838" w:type="dxa"/>
            <w:shd w:val="clear" w:color="auto" w:fill="auto"/>
            <w:vAlign w:val="center"/>
          </w:tcPr>
          <w:p w14:paraId="2FDA1700">
            <w:pPr>
              <w:pStyle w:val="181"/>
              <w:rPr>
                <w:rFonts w:hAnsi="宋体"/>
              </w:rPr>
            </w:pPr>
            <w:r>
              <w:rPr>
                <w:rFonts w:hint="eastAsia" w:hAnsi="宋体"/>
              </w:rPr>
              <w:t>5</w:t>
            </w:r>
            <w:r>
              <w:rPr>
                <w:rFonts w:hAnsi="宋体"/>
              </w:rPr>
              <w:t>0</w:t>
            </w:r>
          </w:p>
        </w:tc>
      </w:tr>
      <w:tr w14:paraId="4E649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shd w:val="clear" w:color="auto" w:fill="auto"/>
            <w:vAlign w:val="center"/>
          </w:tcPr>
          <w:p w14:paraId="06F94BA0">
            <w:pPr>
              <w:pStyle w:val="181"/>
              <w:rPr>
                <w:rFonts w:hAnsi="宋体"/>
              </w:rPr>
            </w:pPr>
            <w:r>
              <w:rPr>
                <w:rFonts w:hint="eastAsia" w:hAnsi="宋体"/>
              </w:rPr>
              <w:t>1</w:t>
            </w:r>
            <w:r>
              <w:rPr>
                <w:rFonts w:hAnsi="宋体"/>
              </w:rPr>
              <w:t>0.5</w:t>
            </w:r>
          </w:p>
        </w:tc>
        <w:tc>
          <w:tcPr>
            <w:tcW w:w="3112" w:type="dxa"/>
            <w:shd w:val="clear" w:color="auto" w:fill="auto"/>
            <w:vAlign w:val="center"/>
          </w:tcPr>
          <w:p w14:paraId="24D6FD03">
            <w:pPr>
              <w:pStyle w:val="181"/>
              <w:rPr>
                <w:rFonts w:hAnsi="宋体"/>
              </w:rPr>
            </w:pPr>
            <w:r>
              <w:rPr>
                <w:rFonts w:hint="eastAsia" w:hAnsi="宋体"/>
              </w:rPr>
              <w:t>0</w:t>
            </w:r>
          </w:p>
        </w:tc>
        <w:tc>
          <w:tcPr>
            <w:tcW w:w="1838" w:type="dxa"/>
            <w:shd w:val="clear" w:color="auto" w:fill="auto"/>
            <w:vAlign w:val="center"/>
          </w:tcPr>
          <w:p w14:paraId="66B5254B">
            <w:pPr>
              <w:pStyle w:val="181"/>
              <w:rPr>
                <w:rFonts w:hAnsi="宋体"/>
              </w:rPr>
            </w:pPr>
            <w:r>
              <w:rPr>
                <w:rFonts w:hAnsi="宋体"/>
              </w:rPr>
              <w:t>100</w:t>
            </w:r>
          </w:p>
        </w:tc>
      </w:tr>
      <w:tr w14:paraId="2C1B6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shd w:val="clear" w:color="auto" w:fill="auto"/>
            <w:vAlign w:val="center"/>
          </w:tcPr>
          <w:p w14:paraId="70D5F8C4">
            <w:pPr>
              <w:pStyle w:val="181"/>
              <w:rPr>
                <w:rFonts w:hAnsi="宋体"/>
              </w:rPr>
            </w:pPr>
            <w:r>
              <w:rPr>
                <w:rFonts w:hint="eastAsia" w:hAnsi="宋体"/>
              </w:rPr>
              <w:t>1</w:t>
            </w:r>
            <w:r>
              <w:rPr>
                <w:rFonts w:hAnsi="宋体"/>
              </w:rPr>
              <w:t>2.5</w:t>
            </w:r>
          </w:p>
        </w:tc>
        <w:tc>
          <w:tcPr>
            <w:tcW w:w="3112" w:type="dxa"/>
            <w:shd w:val="clear" w:color="auto" w:fill="auto"/>
            <w:vAlign w:val="center"/>
          </w:tcPr>
          <w:p w14:paraId="5BB5783A">
            <w:pPr>
              <w:pStyle w:val="181"/>
              <w:rPr>
                <w:rFonts w:hAnsi="宋体"/>
              </w:rPr>
            </w:pPr>
            <w:r>
              <w:rPr>
                <w:rFonts w:hint="eastAsia" w:hAnsi="宋体"/>
              </w:rPr>
              <w:t>0</w:t>
            </w:r>
          </w:p>
        </w:tc>
        <w:tc>
          <w:tcPr>
            <w:tcW w:w="1838" w:type="dxa"/>
            <w:shd w:val="clear" w:color="auto" w:fill="auto"/>
            <w:vAlign w:val="center"/>
          </w:tcPr>
          <w:p w14:paraId="5BD2412E">
            <w:pPr>
              <w:pStyle w:val="181"/>
              <w:rPr>
                <w:rFonts w:hAnsi="宋体"/>
              </w:rPr>
            </w:pPr>
            <w:r>
              <w:rPr>
                <w:rFonts w:hint="eastAsia" w:hAnsi="宋体"/>
              </w:rPr>
              <w:t>1</w:t>
            </w:r>
            <w:r>
              <w:rPr>
                <w:rFonts w:hAnsi="宋体"/>
              </w:rPr>
              <w:t>00</w:t>
            </w:r>
          </w:p>
        </w:tc>
      </w:tr>
      <w:tr w14:paraId="4742F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shd w:val="clear" w:color="auto" w:fill="auto"/>
            <w:vAlign w:val="center"/>
          </w:tcPr>
          <w:p w14:paraId="5548F8EA">
            <w:pPr>
              <w:pStyle w:val="181"/>
              <w:rPr>
                <w:rFonts w:hAnsi="宋体"/>
              </w:rPr>
            </w:pPr>
            <w:r>
              <w:rPr>
                <w:rFonts w:hint="eastAsia" w:hAnsi="宋体"/>
              </w:rPr>
              <w:t>1</w:t>
            </w:r>
            <w:r>
              <w:rPr>
                <w:rFonts w:hAnsi="宋体"/>
              </w:rPr>
              <w:t>3.0</w:t>
            </w:r>
          </w:p>
        </w:tc>
        <w:tc>
          <w:tcPr>
            <w:tcW w:w="3112" w:type="dxa"/>
            <w:shd w:val="clear" w:color="auto" w:fill="auto"/>
            <w:vAlign w:val="center"/>
          </w:tcPr>
          <w:p w14:paraId="6B81FF66">
            <w:pPr>
              <w:pStyle w:val="181"/>
              <w:rPr>
                <w:rFonts w:hAnsi="宋体"/>
              </w:rPr>
            </w:pPr>
            <w:r>
              <w:rPr>
                <w:rFonts w:hint="eastAsia" w:hAnsi="宋体"/>
              </w:rPr>
              <w:t>9</w:t>
            </w:r>
            <w:r>
              <w:rPr>
                <w:rFonts w:hAnsi="宋体"/>
              </w:rPr>
              <w:t>5</w:t>
            </w:r>
          </w:p>
        </w:tc>
        <w:tc>
          <w:tcPr>
            <w:tcW w:w="1838" w:type="dxa"/>
            <w:shd w:val="clear" w:color="auto" w:fill="auto"/>
            <w:vAlign w:val="center"/>
          </w:tcPr>
          <w:p w14:paraId="752FD673">
            <w:pPr>
              <w:pStyle w:val="181"/>
              <w:rPr>
                <w:rFonts w:hAnsi="宋体"/>
              </w:rPr>
            </w:pPr>
            <w:r>
              <w:rPr>
                <w:rFonts w:hint="eastAsia" w:hAnsi="宋体"/>
              </w:rPr>
              <w:t>5</w:t>
            </w:r>
          </w:p>
        </w:tc>
      </w:tr>
      <w:tr w14:paraId="16097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54" w:type="dxa"/>
            <w:shd w:val="clear" w:color="auto" w:fill="auto"/>
            <w:vAlign w:val="center"/>
          </w:tcPr>
          <w:p w14:paraId="0EAA77EC">
            <w:pPr>
              <w:pStyle w:val="181"/>
              <w:rPr>
                <w:rFonts w:hAnsi="宋体"/>
              </w:rPr>
            </w:pPr>
            <w:r>
              <w:rPr>
                <w:rFonts w:hint="eastAsia" w:hAnsi="宋体"/>
              </w:rPr>
              <w:t>1</w:t>
            </w:r>
            <w:r>
              <w:rPr>
                <w:rFonts w:hAnsi="宋体"/>
              </w:rPr>
              <w:t>6.0</w:t>
            </w:r>
          </w:p>
        </w:tc>
        <w:tc>
          <w:tcPr>
            <w:tcW w:w="3112" w:type="dxa"/>
            <w:shd w:val="clear" w:color="auto" w:fill="auto"/>
            <w:vAlign w:val="center"/>
          </w:tcPr>
          <w:p w14:paraId="3CC748FD">
            <w:pPr>
              <w:pStyle w:val="181"/>
              <w:rPr>
                <w:rFonts w:hAnsi="宋体"/>
              </w:rPr>
            </w:pPr>
            <w:r>
              <w:rPr>
                <w:rFonts w:hint="eastAsia" w:hAnsi="宋体"/>
              </w:rPr>
              <w:t>9</w:t>
            </w:r>
            <w:r>
              <w:rPr>
                <w:rFonts w:hAnsi="宋体"/>
              </w:rPr>
              <w:t>5</w:t>
            </w:r>
          </w:p>
        </w:tc>
        <w:tc>
          <w:tcPr>
            <w:tcW w:w="1838" w:type="dxa"/>
            <w:shd w:val="clear" w:color="auto" w:fill="auto"/>
            <w:vAlign w:val="center"/>
          </w:tcPr>
          <w:p w14:paraId="4447EADA">
            <w:pPr>
              <w:pStyle w:val="181"/>
              <w:rPr>
                <w:rFonts w:hAnsi="宋体"/>
              </w:rPr>
            </w:pPr>
            <w:r>
              <w:rPr>
                <w:rFonts w:hint="eastAsia" w:hAnsi="宋体"/>
              </w:rPr>
              <w:t>5</w:t>
            </w:r>
          </w:p>
        </w:tc>
      </w:tr>
    </w:tbl>
    <w:p w14:paraId="4888D0CA">
      <w:pPr>
        <w:pStyle w:val="168"/>
        <w:spacing w:before="120" w:beforeLines="50" w:after="120" w:afterLines="50"/>
        <w:rPr>
          <w:rFonts w:ascii="黑体" w:hAnsi="黑体" w:eastAsia="黑体"/>
        </w:rPr>
      </w:pPr>
      <w:bookmarkStart w:id="146" w:name="_Toc70341311"/>
      <w:r>
        <w:rPr>
          <w:rFonts w:hint="eastAsia" w:ascii="黑体" w:hAnsi="黑体" w:eastAsia="黑体"/>
        </w:rPr>
        <w:t>质谱参考条件</w:t>
      </w:r>
      <w:bookmarkEnd w:id="146"/>
    </w:p>
    <w:p w14:paraId="7FCC2F2C">
      <w:pPr>
        <w:pStyle w:val="177"/>
        <w:numPr>
          <w:ilvl w:val="0"/>
          <w:numId w:val="32"/>
        </w:numPr>
        <w:rPr>
          <w:rFonts w:ascii="Times New Roman"/>
        </w:rPr>
      </w:pPr>
      <w:r>
        <w:rPr>
          <w:rFonts w:hint="eastAsia" w:ascii="Times New Roman"/>
        </w:rPr>
        <w:t>电离模式</w:t>
      </w:r>
      <w:r>
        <w:rPr>
          <w:rFonts w:ascii="Times New Roman"/>
        </w:rPr>
        <w:t>：电喷雾</w:t>
      </w:r>
      <w:r>
        <w:rPr>
          <w:rFonts w:hint="eastAsia" w:ascii="Times New Roman"/>
        </w:rPr>
        <w:t>离子源</w:t>
      </w:r>
      <w:r>
        <w:rPr>
          <w:rFonts w:ascii="Times New Roman"/>
        </w:rPr>
        <w:t>（ESI）</w:t>
      </w:r>
      <w:r>
        <w:rPr>
          <w:rFonts w:hint="eastAsia" w:ascii="Times New Roman"/>
        </w:rPr>
        <w:t>，</w:t>
      </w:r>
      <w:r>
        <w:rPr>
          <w:rFonts w:ascii="Times New Roman"/>
        </w:rPr>
        <w:t>负离</w:t>
      </w:r>
      <w:r>
        <w:rPr>
          <w:rFonts w:hint="eastAsia" w:ascii="Times New Roman"/>
        </w:rPr>
        <w:t>子</w:t>
      </w:r>
      <w:r>
        <w:rPr>
          <w:rFonts w:ascii="Times New Roman"/>
        </w:rPr>
        <w:t>模式</w:t>
      </w:r>
      <w:r>
        <w:rPr>
          <w:rFonts w:hint="eastAsia" w:ascii="Times New Roman"/>
        </w:rPr>
        <w:t>。</w:t>
      </w:r>
    </w:p>
    <w:p w14:paraId="573AB36D">
      <w:pPr>
        <w:pStyle w:val="177"/>
        <w:numPr>
          <w:ilvl w:val="0"/>
          <w:numId w:val="32"/>
        </w:numPr>
        <w:rPr>
          <w:rFonts w:ascii="Times New Roman"/>
        </w:rPr>
      </w:pPr>
      <w:r>
        <w:rPr>
          <w:rFonts w:hint="eastAsia" w:ascii="Times New Roman"/>
        </w:rPr>
        <w:t>扫描方式：多反应监测模式（MRM）。</w:t>
      </w:r>
    </w:p>
    <w:p w14:paraId="29FFC38B">
      <w:pPr>
        <w:pStyle w:val="177"/>
        <w:numPr>
          <w:ilvl w:val="0"/>
          <w:numId w:val="32"/>
        </w:numPr>
        <w:ind w:left="844" w:leftChars="200" w:hanging="424" w:hangingChars="202"/>
        <w:rPr>
          <w:rFonts w:hAnsi="宋体"/>
        </w:rPr>
      </w:pPr>
      <w:r>
        <w:rPr>
          <w:rFonts w:hAnsi="宋体"/>
        </w:rPr>
        <w:t>其</w:t>
      </w:r>
      <w:r>
        <w:rPr>
          <w:rFonts w:hint="eastAsia" w:hAnsi="宋体"/>
        </w:rPr>
        <w:t>他</w:t>
      </w:r>
      <w:r>
        <w:rPr>
          <w:rFonts w:hAnsi="宋体"/>
        </w:rPr>
        <w:t>质谱参数见附录</w:t>
      </w:r>
      <w:r>
        <w:rPr>
          <w:rFonts w:ascii="Times New Roman"/>
        </w:rPr>
        <w:t>B</w:t>
      </w:r>
      <w:r>
        <w:rPr>
          <w:rFonts w:hAnsi="宋体"/>
        </w:rPr>
        <w:t>。</w:t>
      </w:r>
    </w:p>
    <w:p w14:paraId="53FD78AC">
      <w:pPr>
        <w:pStyle w:val="108"/>
        <w:spacing w:before="120" w:after="120"/>
        <w:ind w:left="0"/>
      </w:pPr>
      <w:bookmarkStart w:id="147" w:name="_Toc83893137"/>
      <w:bookmarkStart w:id="148" w:name="_Toc55843018"/>
      <w:bookmarkStart w:id="149" w:name="_Toc76128038"/>
      <w:bookmarkStart w:id="150" w:name="_Toc57880289"/>
      <w:bookmarkStart w:id="151" w:name="_Toc70341312"/>
      <w:bookmarkStart w:id="152" w:name="_Toc76128069"/>
      <w:r>
        <w:rPr>
          <w:rFonts w:hint="eastAsia"/>
        </w:rPr>
        <w:t>校准</w:t>
      </w:r>
      <w:bookmarkEnd w:id="147"/>
      <w:bookmarkEnd w:id="148"/>
      <w:bookmarkEnd w:id="149"/>
      <w:bookmarkEnd w:id="150"/>
      <w:bookmarkEnd w:id="151"/>
      <w:bookmarkEnd w:id="152"/>
    </w:p>
    <w:p w14:paraId="3E0B3BC5">
      <w:pPr>
        <w:pStyle w:val="168"/>
        <w:spacing w:before="120" w:beforeLines="50" w:after="120" w:afterLines="50"/>
        <w:rPr>
          <w:rFonts w:ascii="黑体" w:hAnsi="黑体" w:eastAsia="黑体"/>
        </w:rPr>
      </w:pPr>
      <w:bookmarkStart w:id="153" w:name="_Toc70341313"/>
      <w:r>
        <w:rPr>
          <w:rFonts w:hint="eastAsia" w:ascii="黑体" w:hAnsi="黑体" w:eastAsia="黑体"/>
        </w:rPr>
        <w:t>标准系列工作溶液配制</w:t>
      </w:r>
      <w:bookmarkEnd w:id="153"/>
    </w:p>
    <w:p w14:paraId="5000D3E0">
      <w:pPr>
        <w:pStyle w:val="59"/>
        <w:ind w:firstLine="420"/>
        <w:rPr>
          <w:rFonts w:hAnsi="宋体"/>
          <w:szCs w:val="21"/>
        </w:rPr>
      </w:pPr>
      <w:r>
        <w:rPr>
          <w:rFonts w:hint="eastAsia"/>
        </w:rPr>
        <w:t>分别</w:t>
      </w:r>
      <w:r>
        <w:t>准确</w:t>
      </w:r>
      <w:r>
        <w:rPr>
          <w:rFonts w:hint="eastAsia"/>
        </w:rPr>
        <w:t>移</w:t>
      </w:r>
      <w:r>
        <w:t>取</w:t>
      </w:r>
      <w:r>
        <w:rPr>
          <w:rFonts w:hint="eastAsia"/>
        </w:rPr>
        <w:t>混合标准使用溶液（5.1</w:t>
      </w:r>
      <w:r>
        <w:t>2</w:t>
      </w:r>
      <w:r>
        <w:rPr>
          <w:rFonts w:hint="eastAsia"/>
        </w:rPr>
        <w:t>）</w:t>
      </w:r>
      <w:r>
        <w:t>适量</w:t>
      </w:r>
      <w:r>
        <w:rPr>
          <w:rFonts w:hint="eastAsia"/>
        </w:rPr>
        <w:t>，</w:t>
      </w:r>
      <w:r>
        <w:t>用</w:t>
      </w:r>
      <w:r>
        <w:rPr>
          <w:rFonts w:hint="eastAsia"/>
        </w:rPr>
        <w:t>乙腈溶液（5.13）稀释，</w:t>
      </w:r>
      <w:r>
        <w:t>配</w:t>
      </w:r>
      <w:r>
        <w:rPr>
          <w:rFonts w:hint="eastAsia"/>
        </w:rPr>
        <w:t>制</w:t>
      </w:r>
      <w:r>
        <w:t>成不同浓度的标准系列工作溶液</w:t>
      </w:r>
      <w:r>
        <w:rPr>
          <w:rFonts w:hint="eastAsia"/>
        </w:rPr>
        <w:t>。</w:t>
      </w:r>
      <w:r>
        <w:t>标准系列工作溶液中</w:t>
      </w:r>
      <w:r>
        <w:rPr>
          <w:rFonts w:ascii="Times New Roman"/>
        </w:rPr>
        <w:t>农药及</w:t>
      </w:r>
      <w:r>
        <w:t>代谢物</w:t>
      </w:r>
      <w:r>
        <w:rPr>
          <w:rFonts w:hint="eastAsia"/>
        </w:rPr>
        <w:t>质量</w:t>
      </w:r>
      <w:r>
        <w:t>浓度分别为</w:t>
      </w:r>
      <w:r>
        <w:rPr>
          <w:rFonts w:hint="eastAsia"/>
        </w:rPr>
        <w:t>0</w:t>
      </w:r>
      <w:r>
        <w:t xml:space="preserve">.10 </w:t>
      </w:r>
      <w:r>
        <w:rPr>
          <w:rFonts w:ascii="Times New Roman"/>
        </w:rPr>
        <w:t>μg/L</w:t>
      </w:r>
      <w:r>
        <w:t>、</w:t>
      </w:r>
      <w:r>
        <w:rPr>
          <w:rFonts w:hint="eastAsia"/>
        </w:rPr>
        <w:t>0</w:t>
      </w:r>
      <w:r>
        <w:t xml:space="preserve">.50 </w:t>
      </w:r>
      <w:r>
        <w:rPr>
          <w:rFonts w:ascii="Times New Roman"/>
        </w:rPr>
        <w:t>μg/L</w:t>
      </w:r>
      <w:r>
        <w:t>、</w:t>
      </w:r>
      <w:r>
        <w:rPr>
          <w:rFonts w:hint="eastAsia"/>
        </w:rPr>
        <w:t>1</w:t>
      </w:r>
      <w:r>
        <w:t xml:space="preserve">.00 </w:t>
      </w:r>
      <w:r>
        <w:rPr>
          <w:rFonts w:ascii="Times New Roman"/>
        </w:rPr>
        <w:t>μg/L</w:t>
      </w:r>
      <w:r>
        <w:rPr>
          <w:rFonts w:hint="eastAsia"/>
        </w:rPr>
        <w:t>、5</w:t>
      </w:r>
      <w:r>
        <w:t xml:space="preserve">.00 </w:t>
      </w:r>
      <w:r>
        <w:rPr>
          <w:rFonts w:ascii="Times New Roman"/>
        </w:rPr>
        <w:t>μg/L</w:t>
      </w:r>
      <w:r>
        <w:rPr>
          <w:rFonts w:hint="eastAsia"/>
        </w:rPr>
        <w:t>、1</w:t>
      </w:r>
      <w:r>
        <w:t xml:space="preserve">0.0 </w:t>
      </w:r>
      <w:r>
        <w:rPr>
          <w:rFonts w:ascii="Times New Roman"/>
        </w:rPr>
        <w:t>μg/L</w:t>
      </w:r>
      <w:r>
        <w:rPr>
          <w:rFonts w:hint="eastAsia"/>
        </w:rPr>
        <w:t>、</w:t>
      </w:r>
      <w:r>
        <w:t xml:space="preserve">25.0 </w:t>
      </w:r>
      <w:r>
        <w:rPr>
          <w:rFonts w:ascii="Times New Roman"/>
        </w:rPr>
        <w:t>μg/L</w:t>
      </w:r>
      <w:r>
        <w:rPr>
          <w:rFonts w:hint="eastAsia"/>
        </w:rPr>
        <w:t>、</w:t>
      </w:r>
      <w:r>
        <w:t xml:space="preserve">50.0 </w:t>
      </w:r>
      <w:r>
        <w:rPr>
          <w:rFonts w:ascii="Times New Roman"/>
        </w:rPr>
        <w:t>μg/L</w:t>
      </w:r>
      <w:r>
        <w:rPr>
          <w:rFonts w:hint="eastAsia"/>
        </w:rPr>
        <w:t>和1</w:t>
      </w:r>
      <w:r>
        <w:t xml:space="preserve">00 </w:t>
      </w:r>
      <w:r>
        <w:rPr>
          <w:rFonts w:ascii="Times New Roman"/>
        </w:rPr>
        <w:t>μg/L</w:t>
      </w:r>
      <w:r>
        <w:t>,</w:t>
      </w:r>
      <w:r>
        <w:rPr>
          <w:rFonts w:hint="eastAsia"/>
        </w:rPr>
        <w:t>稳定同位素</w:t>
      </w:r>
      <w:r>
        <w:t>内标</w:t>
      </w:r>
      <w:r>
        <w:rPr>
          <w:rFonts w:hint="eastAsia"/>
        </w:rPr>
        <w:t xml:space="preserve">添加量10.0 </w:t>
      </w:r>
      <w:r>
        <w:rPr>
          <w:rFonts w:ascii="Times New Roman"/>
        </w:rPr>
        <w:t>μ</w:t>
      </w:r>
      <w:r>
        <w:rPr>
          <w:rFonts w:hint="eastAsia" w:ascii="Times New Roman"/>
        </w:rPr>
        <w:t>L，质量</w:t>
      </w:r>
      <w:r>
        <w:t>浓度为</w:t>
      </w:r>
      <w:r>
        <w:rPr>
          <w:rFonts w:hAnsi="宋体"/>
          <w:szCs w:val="21"/>
        </w:rPr>
        <w:t>10.0</w:t>
      </w:r>
      <w:r>
        <w:t xml:space="preserve"> </w:t>
      </w:r>
      <w:r>
        <w:rPr>
          <w:rFonts w:ascii="Times New Roman"/>
        </w:rPr>
        <w:t>μg/L</w:t>
      </w:r>
      <w:r>
        <w:rPr>
          <w:rFonts w:hint="eastAsia" w:hAnsi="宋体"/>
          <w:szCs w:val="21"/>
        </w:rPr>
        <w:t>。</w:t>
      </w:r>
    </w:p>
    <w:p w14:paraId="4ACD1403">
      <w:pPr>
        <w:pStyle w:val="168"/>
        <w:spacing w:before="120" w:beforeLines="50" w:after="120" w:afterLines="50"/>
        <w:rPr>
          <w:rFonts w:ascii="黑体" w:hAnsi="黑体" w:eastAsia="黑体"/>
        </w:rPr>
      </w:pPr>
      <w:bookmarkStart w:id="154" w:name="_Toc70341314"/>
      <w:r>
        <w:rPr>
          <w:rFonts w:hint="eastAsia" w:ascii="黑体" w:hAnsi="黑体" w:eastAsia="黑体"/>
        </w:rPr>
        <w:t>校准曲线绘制</w:t>
      </w:r>
      <w:bookmarkEnd w:id="154"/>
    </w:p>
    <w:p w14:paraId="3885968D">
      <w:pPr>
        <w:pStyle w:val="168"/>
        <w:numPr>
          <w:ilvl w:val="0"/>
          <w:numId w:val="0"/>
        </w:numPr>
        <w:ind w:firstLine="420" w:firstLineChars="200"/>
      </w:pPr>
      <w:r>
        <w:rPr>
          <w:rFonts w:hint="eastAsia"/>
        </w:rPr>
        <w:t>按推荐分析条件，依次</w:t>
      </w:r>
      <w:r>
        <w:t>测定</w:t>
      </w:r>
      <w:r>
        <w:rPr>
          <w:rFonts w:hint="eastAsia"/>
        </w:rPr>
        <w:t>稀释后的</w:t>
      </w:r>
      <w:r>
        <w:t>标准系列</w:t>
      </w:r>
      <w:r>
        <w:rPr>
          <w:rFonts w:hint="eastAsia"/>
        </w:rPr>
        <w:t>工作</w:t>
      </w:r>
      <w:r>
        <w:t>溶液</w:t>
      </w:r>
      <w:r>
        <w:rPr>
          <w:rFonts w:hint="eastAsia"/>
        </w:rPr>
        <w:t>。</w:t>
      </w:r>
      <w:r>
        <w:rPr>
          <w:rFonts w:ascii="Times New Roman"/>
        </w:rPr>
        <w:t>以目标分析物定量离子峰面积和</w:t>
      </w:r>
      <w:r>
        <w:rPr>
          <w:rFonts w:hint="eastAsia" w:ascii="Times New Roman"/>
        </w:rPr>
        <w:t>对应稳定同位素</w:t>
      </w:r>
      <w:r>
        <w:rPr>
          <w:rFonts w:ascii="Times New Roman"/>
        </w:rPr>
        <w:t>内标峰面积比</w:t>
      </w:r>
      <w:r>
        <w:rPr>
          <w:rFonts w:hint="eastAsia" w:ascii="Times New Roman"/>
        </w:rPr>
        <w:t>值</w:t>
      </w:r>
      <w:r>
        <w:rPr>
          <w:rFonts w:ascii="Times New Roman"/>
        </w:rPr>
        <w:t>为纵坐标，以</w:t>
      </w:r>
      <w:r>
        <w:rPr>
          <w:rFonts w:hint="eastAsia" w:ascii="Times New Roman"/>
        </w:rPr>
        <w:t>其质量浓度</w:t>
      </w:r>
      <w:r>
        <w:rPr>
          <w:rFonts w:ascii="Times New Roman"/>
        </w:rPr>
        <w:t>比</w:t>
      </w:r>
      <w:r>
        <w:rPr>
          <w:rFonts w:hint="eastAsia" w:ascii="Times New Roman"/>
        </w:rPr>
        <w:t>值为</w:t>
      </w:r>
      <w:r>
        <w:rPr>
          <w:rFonts w:ascii="Times New Roman"/>
        </w:rPr>
        <w:t>横坐标</w:t>
      </w:r>
      <w:r>
        <w:rPr>
          <w:rFonts w:hint="eastAsia"/>
        </w:rPr>
        <w:t>绘制校准曲线（权重取</w:t>
      </w:r>
      <w:r>
        <w:rPr>
          <w:rFonts w:hint="eastAsia" w:hAnsi="宋体"/>
          <w:szCs w:val="21"/>
        </w:rPr>
        <w:t>1</w:t>
      </w:r>
      <w:r>
        <w:rPr>
          <w:rFonts w:hint="eastAsia"/>
        </w:rPr>
        <w:t>/</w:t>
      </w:r>
      <w:r>
        <w:rPr>
          <w:rFonts w:ascii="Times New Roman"/>
        </w:rPr>
        <w:t>x</w:t>
      </w:r>
      <w:r>
        <w:rPr>
          <w:rFonts w:hint="eastAsia"/>
        </w:rPr>
        <w:t>）。</w:t>
      </w:r>
      <w:r>
        <w:t>8</w:t>
      </w:r>
      <w:r>
        <w:rPr>
          <w:rFonts w:hint="eastAsia"/>
        </w:rPr>
        <w:t>种</w:t>
      </w:r>
      <w:r>
        <w:rPr>
          <w:rFonts w:hint="eastAsia" w:ascii="Times New Roman"/>
        </w:rPr>
        <w:t>农药及</w:t>
      </w:r>
      <w:r>
        <w:rPr>
          <w:rFonts w:hint="eastAsia"/>
        </w:rPr>
        <w:t>代谢物的提取离子流图见附录</w:t>
      </w:r>
      <w:r>
        <w:rPr>
          <w:rFonts w:ascii="Times New Roman"/>
        </w:rPr>
        <w:t>C</w:t>
      </w:r>
      <w:r>
        <w:t>。</w:t>
      </w:r>
    </w:p>
    <w:p w14:paraId="77ED626E">
      <w:pPr>
        <w:pStyle w:val="108"/>
        <w:spacing w:before="120" w:after="120"/>
        <w:ind w:left="0"/>
      </w:pPr>
      <w:bookmarkStart w:id="155" w:name="_Toc76128070"/>
      <w:bookmarkStart w:id="156" w:name="_Toc70341315"/>
      <w:bookmarkStart w:id="157" w:name="_Toc83893138"/>
      <w:bookmarkStart w:id="158" w:name="_Toc76128039"/>
      <w:r>
        <w:rPr>
          <w:rFonts w:hint="eastAsia"/>
        </w:rPr>
        <w:t>样本测定</w:t>
      </w:r>
      <w:bookmarkEnd w:id="155"/>
      <w:bookmarkEnd w:id="156"/>
      <w:bookmarkEnd w:id="157"/>
      <w:bookmarkEnd w:id="158"/>
    </w:p>
    <w:p w14:paraId="68E6138A">
      <w:pPr>
        <w:pStyle w:val="68"/>
        <w:spacing w:before="120" w:after="120"/>
        <w:rPr>
          <w:rFonts w:hAnsi="黑体"/>
        </w:rPr>
      </w:pPr>
      <w:bookmarkStart w:id="159" w:name="_Toc76128040"/>
      <w:bookmarkStart w:id="160" w:name="_Toc70341316"/>
      <w:r>
        <w:rPr>
          <w:rFonts w:hint="eastAsia" w:hAnsi="黑体"/>
        </w:rPr>
        <w:t>定性分析</w:t>
      </w:r>
      <w:bookmarkEnd w:id="159"/>
      <w:bookmarkEnd w:id="160"/>
    </w:p>
    <w:p w14:paraId="5D887F74">
      <w:pPr>
        <w:pStyle w:val="59"/>
        <w:ind w:firstLine="420"/>
        <w:rPr>
          <w:rFonts w:hAnsi="宋体"/>
          <w:szCs w:val="21"/>
        </w:rPr>
      </w:pPr>
      <w:r>
        <w:rPr>
          <w:rFonts w:hAnsi="宋体"/>
          <w:szCs w:val="21"/>
        </w:rPr>
        <w:t>尿</w:t>
      </w:r>
      <w:r>
        <w:rPr>
          <w:rFonts w:hint="eastAsia" w:hAnsi="宋体"/>
          <w:szCs w:val="21"/>
        </w:rPr>
        <w:t>液</w:t>
      </w:r>
      <w:r>
        <w:rPr>
          <w:rFonts w:hAnsi="宋体"/>
          <w:szCs w:val="21"/>
        </w:rPr>
        <w:t>样</w:t>
      </w:r>
      <w:r>
        <w:rPr>
          <w:rFonts w:hint="eastAsia" w:hAnsi="宋体"/>
          <w:szCs w:val="21"/>
        </w:rPr>
        <w:t>本</w:t>
      </w:r>
      <w:r>
        <w:rPr>
          <w:rFonts w:hAnsi="宋体"/>
          <w:szCs w:val="21"/>
        </w:rPr>
        <w:t>中</w:t>
      </w:r>
      <w:r>
        <w:rPr>
          <w:rFonts w:hint="eastAsia" w:hAnsi="宋体"/>
          <w:szCs w:val="21"/>
        </w:rPr>
        <w:t>目标分析物</w:t>
      </w:r>
      <w:r>
        <w:rPr>
          <w:rFonts w:hAnsi="宋体"/>
          <w:szCs w:val="21"/>
        </w:rPr>
        <w:t>的保留时间与</w:t>
      </w:r>
      <w:r>
        <w:rPr>
          <w:rFonts w:hint="eastAsia" w:hAnsi="宋体"/>
          <w:szCs w:val="21"/>
        </w:rPr>
        <w:t>校准</w:t>
      </w:r>
      <w:r>
        <w:rPr>
          <w:rFonts w:hAnsi="宋体"/>
          <w:szCs w:val="21"/>
        </w:rPr>
        <w:t>曲线中相应</w:t>
      </w:r>
      <w:r>
        <w:rPr>
          <w:rFonts w:hint="eastAsia" w:hAnsi="宋体"/>
          <w:szCs w:val="21"/>
        </w:rPr>
        <w:t>分析物</w:t>
      </w:r>
      <w:r>
        <w:rPr>
          <w:rFonts w:hAnsi="宋体"/>
          <w:szCs w:val="21"/>
        </w:rPr>
        <w:t>的保留时间</w:t>
      </w:r>
      <w:r>
        <w:rPr>
          <w:rFonts w:hint="eastAsia" w:hAnsi="宋体"/>
          <w:szCs w:val="21"/>
        </w:rPr>
        <w:t>相对</w:t>
      </w:r>
      <w:r>
        <w:rPr>
          <w:rFonts w:hAnsi="宋体"/>
          <w:szCs w:val="21"/>
        </w:rPr>
        <w:t>偏差</w:t>
      </w:r>
      <w:r>
        <w:rPr>
          <w:rFonts w:hint="eastAsia" w:hAnsi="宋体"/>
          <w:szCs w:val="21"/>
        </w:rPr>
        <w:t>应</w:t>
      </w:r>
      <w:r>
        <w:rPr>
          <w:rFonts w:hAnsi="宋体"/>
          <w:szCs w:val="21"/>
        </w:rPr>
        <w:t>在±2.5%之内。当尿液</w:t>
      </w:r>
      <w:r>
        <w:rPr>
          <w:rFonts w:hint="eastAsia" w:hAnsi="宋体"/>
          <w:szCs w:val="21"/>
        </w:rPr>
        <w:t>样本</w:t>
      </w:r>
      <w:r>
        <w:rPr>
          <w:rFonts w:hAnsi="宋体"/>
          <w:szCs w:val="21"/>
        </w:rPr>
        <w:t>中</w:t>
      </w:r>
      <w:r>
        <w:rPr>
          <w:rFonts w:hint="eastAsia" w:hAnsi="宋体"/>
          <w:szCs w:val="21"/>
        </w:rPr>
        <w:t>目标分析物</w:t>
      </w:r>
      <w:r>
        <w:rPr>
          <w:rFonts w:hAnsi="宋体"/>
          <w:szCs w:val="21"/>
        </w:rPr>
        <w:t>定性离子的相对丰度与</w:t>
      </w:r>
      <w:r>
        <w:rPr>
          <w:rFonts w:hint="eastAsia" w:hAnsi="宋体"/>
          <w:szCs w:val="21"/>
        </w:rPr>
        <w:t>校准曲线</w:t>
      </w:r>
      <w:r>
        <w:rPr>
          <w:rFonts w:hAnsi="宋体"/>
          <w:szCs w:val="21"/>
        </w:rPr>
        <w:t>中相近浓度点相应</w:t>
      </w:r>
      <w:r>
        <w:rPr>
          <w:rFonts w:hint="eastAsia" w:hAnsi="宋体"/>
          <w:szCs w:val="21"/>
        </w:rPr>
        <w:t>目标分析物</w:t>
      </w:r>
      <w:r>
        <w:rPr>
          <w:rFonts w:hAnsi="宋体"/>
          <w:szCs w:val="21"/>
        </w:rPr>
        <w:t>定性离子的相对丰度进行比较，</w:t>
      </w:r>
      <w:r>
        <w:rPr>
          <w:rFonts w:hint="eastAsia" w:hAnsi="宋体"/>
          <w:szCs w:val="21"/>
        </w:rPr>
        <w:t>其允许</w:t>
      </w:r>
      <w:r>
        <w:rPr>
          <w:rFonts w:hAnsi="宋体"/>
          <w:szCs w:val="21"/>
        </w:rPr>
        <w:t>偏差不超过表2规定的范围</w:t>
      </w:r>
      <w:r>
        <w:rPr>
          <w:rFonts w:hint="eastAsia" w:hAnsi="宋体"/>
          <w:szCs w:val="21"/>
        </w:rPr>
        <w:t>时</w:t>
      </w:r>
      <w:r>
        <w:rPr>
          <w:rFonts w:hAnsi="宋体"/>
          <w:szCs w:val="21"/>
        </w:rPr>
        <w:t>，可判定为样</w:t>
      </w:r>
      <w:r>
        <w:rPr>
          <w:rFonts w:hint="eastAsia" w:hAnsi="宋体"/>
          <w:szCs w:val="21"/>
        </w:rPr>
        <w:t>本</w:t>
      </w:r>
      <w:r>
        <w:rPr>
          <w:rFonts w:hAnsi="宋体"/>
          <w:szCs w:val="21"/>
        </w:rPr>
        <w:t>中存在</w:t>
      </w:r>
      <w:r>
        <w:rPr>
          <w:rFonts w:hint="eastAsia" w:hAnsi="宋体"/>
          <w:szCs w:val="21"/>
        </w:rPr>
        <w:t>相应的目标分析物</w:t>
      </w:r>
      <w:r>
        <w:rPr>
          <w:rFonts w:hAnsi="宋体"/>
          <w:szCs w:val="21"/>
        </w:rPr>
        <w:t>。</w:t>
      </w:r>
    </w:p>
    <w:p w14:paraId="588E7BAD">
      <w:pPr>
        <w:pStyle w:val="115"/>
        <w:spacing w:before="120" w:after="120"/>
        <w:rPr>
          <w:rFonts w:ascii="Times New Roman"/>
        </w:rPr>
      </w:pPr>
      <w:r>
        <w:rPr>
          <w:rFonts w:ascii="Times New Roman"/>
        </w:rPr>
        <w:t>定性离子相对丰度的最大允许偏差</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1758"/>
        <w:gridCol w:w="1867"/>
        <w:gridCol w:w="1867"/>
        <w:gridCol w:w="1867"/>
      </w:tblGrid>
      <w:tr w14:paraId="7F58B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shd w:val="clear" w:color="auto" w:fill="auto"/>
            <w:vAlign w:val="center"/>
          </w:tcPr>
          <w:p w14:paraId="6D2B8352">
            <w:pPr>
              <w:pStyle w:val="181"/>
              <w:rPr>
                <w:rFonts w:ascii="Times New Roman"/>
              </w:rPr>
            </w:pPr>
            <w:r>
              <w:rPr>
                <w:rFonts w:ascii="Times New Roman"/>
              </w:rPr>
              <w:t>相对离子丰度</w:t>
            </w:r>
            <w:r>
              <w:rPr>
                <w:rFonts w:hint="eastAsia" w:ascii="Times New Roman"/>
              </w:rPr>
              <w:t xml:space="preserve"> /</w:t>
            </w:r>
            <w:r>
              <w:rPr>
                <w:rFonts w:ascii="Times New Roman"/>
              </w:rPr>
              <w:t xml:space="preserve"> </w:t>
            </w:r>
            <w:r>
              <w:rPr>
                <w:rFonts w:hAnsi="宋体"/>
                <w:szCs w:val="21"/>
              </w:rPr>
              <w:t>%</w:t>
            </w:r>
          </w:p>
        </w:tc>
        <w:tc>
          <w:tcPr>
            <w:tcW w:w="1758" w:type="dxa"/>
            <w:tcBorders>
              <w:top w:val="single" w:color="auto" w:sz="8" w:space="0"/>
              <w:bottom w:val="single" w:color="auto" w:sz="8" w:space="0"/>
            </w:tcBorders>
            <w:shd w:val="clear" w:color="auto" w:fill="auto"/>
            <w:vAlign w:val="center"/>
          </w:tcPr>
          <w:p w14:paraId="3959DB13">
            <w:pPr>
              <w:pStyle w:val="181"/>
              <w:rPr>
                <w:rFonts w:ascii="Times New Roman"/>
              </w:rPr>
            </w:pPr>
            <w:r>
              <w:rPr>
                <w:rFonts w:ascii="Times New Roman"/>
              </w:rPr>
              <w:t>＞</w:t>
            </w:r>
            <w:r>
              <w:rPr>
                <w:rFonts w:hAnsi="宋体"/>
              </w:rPr>
              <w:t>50</w:t>
            </w:r>
          </w:p>
        </w:tc>
        <w:tc>
          <w:tcPr>
            <w:tcW w:w="1867" w:type="dxa"/>
            <w:tcBorders>
              <w:top w:val="single" w:color="auto" w:sz="8" w:space="0"/>
              <w:bottom w:val="single" w:color="auto" w:sz="8" w:space="0"/>
            </w:tcBorders>
            <w:shd w:val="clear" w:color="auto" w:fill="auto"/>
            <w:vAlign w:val="center"/>
          </w:tcPr>
          <w:p w14:paraId="47362C29">
            <w:pPr>
              <w:pStyle w:val="181"/>
              <w:rPr>
                <w:rFonts w:ascii="Times New Roman"/>
              </w:rPr>
            </w:pPr>
            <w:r>
              <w:rPr>
                <w:rFonts w:hAnsi="宋体"/>
              </w:rPr>
              <w:t>20</w:t>
            </w:r>
            <w:r>
              <w:rPr>
                <w:rFonts w:ascii="Times New Roman"/>
              </w:rPr>
              <w:t>~</w:t>
            </w:r>
            <w:r>
              <w:rPr>
                <w:rFonts w:hAnsi="宋体"/>
              </w:rPr>
              <w:t>50</w:t>
            </w:r>
          </w:p>
        </w:tc>
        <w:tc>
          <w:tcPr>
            <w:tcW w:w="1867" w:type="dxa"/>
            <w:tcBorders>
              <w:top w:val="single" w:color="auto" w:sz="8" w:space="0"/>
              <w:bottom w:val="single" w:color="auto" w:sz="8" w:space="0"/>
            </w:tcBorders>
            <w:shd w:val="clear" w:color="auto" w:fill="auto"/>
            <w:vAlign w:val="center"/>
          </w:tcPr>
          <w:p w14:paraId="04490CF2">
            <w:pPr>
              <w:pStyle w:val="181"/>
              <w:rPr>
                <w:rFonts w:ascii="Times New Roman"/>
              </w:rPr>
            </w:pPr>
            <w:r>
              <w:rPr>
                <w:rFonts w:hAnsi="宋体"/>
              </w:rPr>
              <w:t>10</w:t>
            </w:r>
            <w:r>
              <w:rPr>
                <w:rFonts w:ascii="Times New Roman"/>
              </w:rPr>
              <w:t>~</w:t>
            </w:r>
            <w:r>
              <w:rPr>
                <w:rFonts w:hAnsi="宋体"/>
              </w:rPr>
              <w:t>20</w:t>
            </w:r>
          </w:p>
        </w:tc>
        <w:tc>
          <w:tcPr>
            <w:tcW w:w="1867" w:type="dxa"/>
            <w:tcBorders>
              <w:top w:val="single" w:color="auto" w:sz="8" w:space="0"/>
              <w:bottom w:val="single" w:color="auto" w:sz="8" w:space="0"/>
            </w:tcBorders>
            <w:shd w:val="clear" w:color="auto" w:fill="auto"/>
            <w:vAlign w:val="center"/>
          </w:tcPr>
          <w:p w14:paraId="0182508C">
            <w:pPr>
              <w:pStyle w:val="181"/>
              <w:rPr>
                <w:rFonts w:ascii="Times New Roman"/>
              </w:rPr>
            </w:pPr>
            <w:r>
              <w:rPr>
                <w:rFonts w:hint="eastAsia" w:ascii="Times New Roman"/>
                <w:color w:val="000000" w:themeColor="text1"/>
                <w14:textFill>
                  <w14:solidFill>
                    <w14:schemeClr w14:val="tx1"/>
                  </w14:solidFill>
                </w14:textFill>
              </w:rPr>
              <w:t>≤</w:t>
            </w:r>
            <w:r>
              <w:rPr>
                <w:rFonts w:hAnsi="宋体"/>
                <w:color w:val="000000" w:themeColor="text1"/>
                <w14:textFill>
                  <w14:solidFill>
                    <w14:schemeClr w14:val="tx1"/>
                  </w14:solidFill>
                </w14:textFill>
              </w:rPr>
              <w:t>10</w:t>
            </w:r>
          </w:p>
        </w:tc>
      </w:tr>
      <w:tr w14:paraId="466B9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14:paraId="09E1228D">
            <w:pPr>
              <w:pStyle w:val="181"/>
              <w:rPr>
                <w:rFonts w:ascii="Times New Roman"/>
              </w:rPr>
            </w:pPr>
            <w:r>
              <w:rPr>
                <w:rFonts w:hint="eastAsia" w:ascii="Times New Roman"/>
              </w:rPr>
              <w:t>最大</w:t>
            </w:r>
            <w:r>
              <w:rPr>
                <w:rFonts w:ascii="Times New Roman"/>
              </w:rPr>
              <w:t>允许偏差</w:t>
            </w:r>
            <w:r>
              <w:rPr>
                <w:rFonts w:hint="eastAsia" w:ascii="Times New Roman"/>
              </w:rPr>
              <w:t xml:space="preserve"> /</w:t>
            </w:r>
            <w:r>
              <w:rPr>
                <w:rFonts w:ascii="Times New Roman"/>
              </w:rPr>
              <w:t xml:space="preserve"> </w:t>
            </w:r>
            <w:r>
              <w:rPr>
                <w:rFonts w:hAnsi="宋体"/>
                <w:szCs w:val="21"/>
              </w:rPr>
              <w:t>%</w:t>
            </w:r>
          </w:p>
        </w:tc>
        <w:tc>
          <w:tcPr>
            <w:tcW w:w="1758" w:type="dxa"/>
            <w:tcBorders>
              <w:top w:val="single" w:color="auto" w:sz="8" w:space="0"/>
            </w:tcBorders>
            <w:shd w:val="clear" w:color="auto" w:fill="auto"/>
            <w:vAlign w:val="center"/>
          </w:tcPr>
          <w:p w14:paraId="1CF72077">
            <w:pPr>
              <w:pStyle w:val="181"/>
              <w:rPr>
                <w:rFonts w:ascii="Times New Roman"/>
              </w:rPr>
            </w:pPr>
            <w:r>
              <w:rPr>
                <w:rFonts w:hAnsi="宋体"/>
                <w:szCs w:val="21"/>
              </w:rPr>
              <w:t>±</w:t>
            </w:r>
            <w:r>
              <w:rPr>
                <w:rFonts w:hAnsi="宋体"/>
              </w:rPr>
              <w:t>20</w:t>
            </w:r>
          </w:p>
        </w:tc>
        <w:tc>
          <w:tcPr>
            <w:tcW w:w="1867" w:type="dxa"/>
            <w:tcBorders>
              <w:top w:val="single" w:color="auto" w:sz="8" w:space="0"/>
            </w:tcBorders>
            <w:shd w:val="clear" w:color="auto" w:fill="auto"/>
            <w:vAlign w:val="center"/>
          </w:tcPr>
          <w:p w14:paraId="4FA53345">
            <w:pPr>
              <w:pStyle w:val="181"/>
              <w:rPr>
                <w:rFonts w:ascii="Times New Roman"/>
              </w:rPr>
            </w:pPr>
            <w:r>
              <w:rPr>
                <w:rFonts w:hAnsi="宋体"/>
                <w:szCs w:val="21"/>
              </w:rPr>
              <w:t>±</w:t>
            </w:r>
            <w:r>
              <w:rPr>
                <w:rFonts w:hAnsi="宋体"/>
              </w:rPr>
              <w:t>25</w:t>
            </w:r>
          </w:p>
        </w:tc>
        <w:tc>
          <w:tcPr>
            <w:tcW w:w="1867" w:type="dxa"/>
            <w:tcBorders>
              <w:top w:val="single" w:color="auto" w:sz="8" w:space="0"/>
            </w:tcBorders>
            <w:shd w:val="clear" w:color="auto" w:fill="auto"/>
            <w:vAlign w:val="center"/>
          </w:tcPr>
          <w:p w14:paraId="0FACC732">
            <w:pPr>
              <w:pStyle w:val="181"/>
              <w:rPr>
                <w:rFonts w:ascii="Times New Roman"/>
              </w:rPr>
            </w:pPr>
            <w:r>
              <w:rPr>
                <w:rFonts w:hAnsi="宋体"/>
                <w:szCs w:val="21"/>
              </w:rPr>
              <w:t>±</w:t>
            </w:r>
            <w:r>
              <w:rPr>
                <w:rFonts w:hAnsi="宋体"/>
              </w:rPr>
              <w:t>30</w:t>
            </w:r>
          </w:p>
        </w:tc>
        <w:tc>
          <w:tcPr>
            <w:tcW w:w="1867" w:type="dxa"/>
            <w:tcBorders>
              <w:top w:val="single" w:color="auto" w:sz="8" w:space="0"/>
            </w:tcBorders>
            <w:shd w:val="clear" w:color="auto" w:fill="auto"/>
            <w:vAlign w:val="center"/>
          </w:tcPr>
          <w:p w14:paraId="72627691">
            <w:pPr>
              <w:pStyle w:val="181"/>
              <w:rPr>
                <w:rFonts w:ascii="Times New Roman"/>
              </w:rPr>
            </w:pPr>
            <w:r>
              <w:rPr>
                <w:rFonts w:hAnsi="宋体"/>
                <w:szCs w:val="21"/>
              </w:rPr>
              <w:t>±</w:t>
            </w:r>
            <w:r>
              <w:rPr>
                <w:rFonts w:hAnsi="宋体"/>
              </w:rPr>
              <w:t>50</w:t>
            </w:r>
          </w:p>
        </w:tc>
      </w:tr>
    </w:tbl>
    <w:p w14:paraId="2941FC93">
      <w:pPr>
        <w:pStyle w:val="68"/>
        <w:spacing w:before="120" w:after="120"/>
        <w:rPr>
          <w:rFonts w:hAnsi="黑体"/>
        </w:rPr>
      </w:pPr>
      <w:bookmarkStart w:id="161" w:name="_Toc76128041"/>
      <w:bookmarkStart w:id="162" w:name="_Toc70341317"/>
      <w:r>
        <w:rPr>
          <w:rFonts w:hint="eastAsia" w:hAnsi="黑体"/>
        </w:rPr>
        <w:t>定量分析</w:t>
      </w:r>
      <w:bookmarkEnd w:id="161"/>
      <w:bookmarkEnd w:id="162"/>
    </w:p>
    <w:p w14:paraId="63834A3F">
      <w:pPr>
        <w:pStyle w:val="59"/>
        <w:ind w:firstLine="420"/>
      </w:pPr>
      <w:r>
        <w:rPr>
          <w:rFonts w:hint="eastAsia"/>
        </w:rPr>
        <w:t>尿液样本</w:t>
      </w:r>
      <w:r>
        <w:t>中</w:t>
      </w:r>
      <w:r>
        <w:rPr>
          <w:rFonts w:hint="eastAsia"/>
        </w:rPr>
        <w:t>目标分析物的</w:t>
      </w:r>
      <w:r>
        <w:t>浓度按如下公式计算：</w:t>
      </w:r>
    </w:p>
    <w:p w14:paraId="5D186BF9">
      <w:pPr>
        <w:pStyle w:val="116"/>
        <w:rPr>
          <w:rFonts w:hAnsi="Times New Roman"/>
          <w:kern w:val="0"/>
          <w:szCs w:val="20"/>
        </w:rPr>
      </w:pPr>
      <w:r>
        <w:rPr>
          <w:rFonts w:hAnsi="Times New Roman"/>
          <w:kern w:val="0"/>
          <w:szCs w:val="20"/>
        </w:rPr>
        <w:tab/>
      </w:r>
      <w:r>
        <w:rPr>
          <w:rFonts w:hAnsi="Times New Roman"/>
          <w:kern w:val="0"/>
          <w:szCs w:val="20"/>
        </w:rPr>
        <w:br w:type="textWrapping"/>
      </w:r>
      <m:oMathPara>
        <m:oMath>
          <m:r>
            <m:rPr/>
            <w:rPr>
              <w:rFonts w:ascii="Cambria Math" w:hAnsi="Cambria Math"/>
            </w:rPr>
            <m:t>ρ=</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x</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is</m:t>
                          </m:r>
                          <m:ctrlPr>
                            <w:rPr>
                              <w:rFonts w:ascii="Cambria Math" w:hAnsi="Cambria Math"/>
                              <w:i/>
                            </w:rPr>
                          </m:ctrlPr>
                        </m:sub>
                      </m:sSub>
                      <m:ctrlPr>
                        <w:rPr>
                          <w:rFonts w:ascii="Cambria Math" w:hAnsi="Cambria Math"/>
                          <w:i/>
                        </w:rPr>
                      </m:ctrlPr>
                    </m:den>
                  </m:f>
                  <m:r>
                    <m:rPr/>
                    <w:rPr>
                      <w:rFonts w:ascii="Cambria Math" w:hAnsi="Cambria Math"/>
                    </w:rPr>
                    <m:t>−b</m:t>
                  </m:r>
                  <m:ctrlPr>
                    <w:rPr>
                      <w:rFonts w:ascii="Cambria Math" w:hAnsi="Cambria Math"/>
                      <w:i/>
                    </w:rPr>
                  </m:ctrlPr>
                </m:e>
              </m:d>
              <m:ctrlPr>
                <w:rPr>
                  <w:rFonts w:ascii="Cambria Math" w:hAnsi="Cambria Math"/>
                  <w:i/>
                </w:rPr>
              </m:ctrlPr>
            </m:num>
            <m:den>
              <m:r>
                <m:rPr/>
                <w:rPr>
                  <w:rFonts w:hint="eastAsia" w:ascii="Cambria Math" w:hAnsi="Cambria Math"/>
                </w:rPr>
                <m:t>an</m:t>
              </m:r>
              <m:ctrlPr>
                <w:rPr>
                  <w:rFonts w:ascii="Cambria Math" w:hAnsi="Cambria Math"/>
                  <w:i/>
                </w:rPr>
              </m:ctrlPr>
            </m:den>
          </m:f>
          <m:r>
            <m:rPr/>
            <w:rPr>
              <w:rFonts w:ascii="Cambria Math" w:hAnsi="Cambria Math"/>
            </w:rPr>
            <m:t xml:space="preserve"> ×</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is</m:t>
              </m:r>
              <m:ctrlPr>
                <w:rPr>
                  <w:rFonts w:ascii="Cambria Math" w:hAnsi="Cambria Math"/>
                  <w:i/>
                </w:rPr>
              </m:ctrlPr>
            </m:sub>
          </m:sSub>
          <m:r>
            <m:rPr>
              <m:sty m:val="p"/>
            </m:rPr>
            <w:rPr>
              <w:rFonts w:hAnsi="Times New Roman"/>
              <w:kern w:val="0"/>
              <w:szCs w:val="20"/>
            </w:rPr>
            <w:br w:type="textWrapping"/>
          </m:r>
        </m:oMath>
      </m:oMathPara>
    </w:p>
    <w:p w14:paraId="62FA7F1E">
      <w:pPr>
        <w:spacing w:line="300" w:lineRule="auto"/>
        <w:ind w:firstLine="420" w:firstLineChars="200"/>
        <w:rPr>
          <w:rFonts w:ascii="宋体" w:hAnsi="Times New Roman"/>
          <w:kern w:val="0"/>
          <w:szCs w:val="20"/>
        </w:rPr>
      </w:pPr>
      <w:r>
        <w:rPr>
          <w:rFonts w:ascii="宋体" w:hAnsi="Times New Roman"/>
          <w:kern w:val="0"/>
          <w:szCs w:val="20"/>
        </w:rPr>
        <w:t>ρ——</w:t>
      </w:r>
      <w:r>
        <w:rPr>
          <w:rFonts w:hint="eastAsia" w:ascii="宋体" w:hAnsi="宋体"/>
        </w:rPr>
        <w:t>尿液样本中目标分析物的质量浓度，</w:t>
      </w:r>
      <w:r>
        <w:rPr>
          <w:rFonts w:hint="eastAsia" w:ascii="宋体" w:hAnsi="Times New Roman"/>
          <w:kern w:val="0"/>
          <w:szCs w:val="20"/>
        </w:rPr>
        <w:t>（</w:t>
      </w:r>
      <w:r>
        <w:rPr>
          <w:rFonts w:ascii="宋体" w:hAnsi="Times New Roman"/>
          <w:kern w:val="0"/>
          <w:szCs w:val="20"/>
        </w:rPr>
        <w:t>μg/L）</w:t>
      </w:r>
      <w:r>
        <w:rPr>
          <w:rFonts w:hint="eastAsia" w:ascii="宋体" w:hAnsi="Times New Roman"/>
          <w:kern w:val="0"/>
          <w:szCs w:val="20"/>
        </w:rPr>
        <w:t>；</w:t>
      </w:r>
    </w:p>
    <w:p w14:paraId="471D8238">
      <w:pPr>
        <w:spacing w:line="300" w:lineRule="auto"/>
        <w:ind w:left="420"/>
      </w:pPr>
      <w:r>
        <w:rPr>
          <w:i/>
        </w:rPr>
        <w:t>A</w:t>
      </w:r>
      <w:r>
        <w:rPr>
          <w:i/>
          <w:vertAlign w:val="subscript"/>
        </w:rPr>
        <w:t>x</w:t>
      </w:r>
      <w:r>
        <w:rPr>
          <w:rFonts w:ascii="宋体" w:hAnsi="Times New Roman"/>
          <w:kern w:val="0"/>
          <w:szCs w:val="20"/>
        </w:rPr>
        <w:t>——</w:t>
      </w:r>
      <w:r>
        <w:rPr>
          <w:rFonts w:hint="eastAsia"/>
        </w:rPr>
        <w:t>目标分析物</w:t>
      </w:r>
      <w:r>
        <w:t>的峰面积；</w:t>
      </w:r>
    </w:p>
    <w:p w14:paraId="52196F6A">
      <w:pPr>
        <w:spacing w:line="300" w:lineRule="auto"/>
        <w:ind w:firstLine="420" w:firstLineChars="200"/>
      </w:pPr>
      <w:r>
        <w:rPr>
          <w:i/>
        </w:rPr>
        <w:t>A</w:t>
      </w:r>
      <w:r>
        <w:rPr>
          <w:i/>
          <w:vertAlign w:val="subscript"/>
        </w:rPr>
        <w:t>is</w:t>
      </w:r>
      <w:r>
        <w:rPr>
          <w:rFonts w:ascii="宋体" w:hAnsi="Times New Roman"/>
          <w:kern w:val="0"/>
          <w:szCs w:val="20"/>
        </w:rPr>
        <w:t>——</w:t>
      </w:r>
      <w:r>
        <w:rPr>
          <w:rFonts w:hint="eastAsia"/>
        </w:rPr>
        <w:t>目标分析物对应内标</w:t>
      </w:r>
      <w:r>
        <w:t>的峰面积</w:t>
      </w:r>
      <w:r>
        <w:rPr>
          <w:rFonts w:hint="eastAsia"/>
        </w:rPr>
        <w:t>；</w:t>
      </w:r>
    </w:p>
    <w:p w14:paraId="34D423E1">
      <w:pPr>
        <w:spacing w:line="300" w:lineRule="auto"/>
        <w:ind w:left="420"/>
        <w:rPr>
          <w:i/>
        </w:rPr>
      </w:pPr>
      <w:r>
        <w:rPr>
          <w:i/>
        </w:rPr>
        <w:t>C</w:t>
      </w:r>
      <w:r>
        <w:rPr>
          <w:rFonts w:hint="eastAsia"/>
          <w:i/>
          <w:vertAlign w:val="subscript"/>
        </w:rPr>
        <w:t>is</w:t>
      </w:r>
      <w:r>
        <w:rPr>
          <w:rFonts w:ascii="宋体" w:hAnsi="Times New Roman"/>
          <w:kern w:val="0"/>
          <w:szCs w:val="20"/>
        </w:rPr>
        <w:t>——</w:t>
      </w:r>
      <w:r>
        <w:rPr>
          <w:rFonts w:hint="eastAsia"/>
        </w:rPr>
        <w:t>尿液样本进样时的内标浓度，</w:t>
      </w:r>
      <w:r>
        <w:t>ng；</w:t>
      </w:r>
    </w:p>
    <w:p w14:paraId="49713791">
      <w:pPr>
        <w:spacing w:line="300" w:lineRule="auto"/>
        <w:ind w:left="420"/>
        <w:rPr>
          <w:rFonts w:ascii="宋体" w:hAnsi="宋体"/>
          <w:color w:val="000000" w:themeColor="text1"/>
          <w14:textFill>
            <w14:solidFill>
              <w14:schemeClr w14:val="tx1"/>
            </w14:solidFill>
          </w14:textFill>
        </w:rPr>
      </w:pPr>
      <w:r>
        <w:rPr>
          <w:rFonts w:hint="eastAsia"/>
          <w:i/>
          <w:kern w:val="0"/>
          <w:szCs w:val="20"/>
        </w:rPr>
        <w:t>a</w:t>
      </w:r>
      <w:r>
        <w:rPr>
          <w:rFonts w:ascii="宋体" w:hAnsi="Times New Roman"/>
          <w:kern w:val="0"/>
          <w:szCs w:val="20"/>
        </w:rPr>
        <w:t>——</w:t>
      </w:r>
      <w:r>
        <w:rPr>
          <w:rFonts w:hint="eastAsia" w:ascii="宋体" w:hAnsi="宋体"/>
          <w:color w:val="000000" w:themeColor="text1"/>
          <w14:textFill>
            <w14:solidFill>
              <w14:schemeClr w14:val="tx1"/>
            </w14:solidFill>
          </w14:textFill>
        </w:rPr>
        <w:t>校准曲线的斜率；</w:t>
      </w:r>
    </w:p>
    <w:p w14:paraId="176DA4CC">
      <w:pPr>
        <w:spacing w:line="300" w:lineRule="auto"/>
        <w:ind w:left="420"/>
        <w:rPr>
          <w:kern w:val="0"/>
          <w:szCs w:val="20"/>
        </w:rPr>
      </w:pPr>
      <w:r>
        <w:rPr>
          <w:rFonts w:hint="eastAsia"/>
          <w:kern w:val="0"/>
          <w:szCs w:val="20"/>
        </w:rPr>
        <w:t>b</w:t>
      </w:r>
      <w:r>
        <w:rPr>
          <w:rFonts w:ascii="宋体" w:hAnsi="Times New Roman"/>
          <w:kern w:val="0"/>
          <w:szCs w:val="20"/>
        </w:rPr>
        <w:t>——</w:t>
      </w:r>
      <w:r>
        <w:rPr>
          <w:rFonts w:hint="eastAsia"/>
          <w:kern w:val="0"/>
          <w:szCs w:val="20"/>
        </w:rPr>
        <w:t>校准曲线的截距；</w:t>
      </w:r>
    </w:p>
    <w:p w14:paraId="72FB5492">
      <w:pPr>
        <w:spacing w:line="300" w:lineRule="auto"/>
        <w:ind w:left="420"/>
        <w:rPr>
          <w:rFonts w:ascii="宋体" w:hAnsi="Times New Roman"/>
          <w:kern w:val="0"/>
          <w:szCs w:val="20"/>
        </w:rPr>
      </w:pPr>
      <w:r>
        <w:rPr>
          <w:i/>
        </w:rPr>
        <w:t>n</w:t>
      </w:r>
      <w:r>
        <w:rPr>
          <w:rFonts w:ascii="宋体" w:hAnsi="Times New Roman"/>
          <w:kern w:val="0"/>
          <w:szCs w:val="20"/>
        </w:rPr>
        <w:t>——</w:t>
      </w:r>
      <w:r>
        <w:rPr>
          <w:rFonts w:hint="eastAsia"/>
        </w:rPr>
        <w:t>尿液样本前处理过程的浓缩倍数</w:t>
      </w:r>
      <w:r>
        <w:rPr>
          <w:rFonts w:ascii="宋体" w:hAnsi="Times New Roman"/>
          <w:kern w:val="0"/>
          <w:szCs w:val="20"/>
        </w:rPr>
        <w:t>mL</w:t>
      </w:r>
      <w:r>
        <w:rPr>
          <w:rFonts w:hint="eastAsia" w:ascii="宋体" w:hAnsi="Times New Roman"/>
          <w:kern w:val="0"/>
          <w:szCs w:val="20"/>
        </w:rPr>
        <w:t>；</w:t>
      </w:r>
    </w:p>
    <w:p w14:paraId="20FA35E1">
      <w:pPr>
        <w:pStyle w:val="59"/>
        <w:ind w:firstLine="420"/>
      </w:pPr>
      <w:r>
        <w:rPr>
          <w:rFonts w:hint="eastAsia"/>
        </w:rPr>
        <w:t>测量结果保留三位有效数字，但当结果接近方法检出限时，测量结果与检出限小数点后位数保持一致。</w:t>
      </w:r>
    </w:p>
    <w:p w14:paraId="658F0EA7">
      <w:pPr>
        <w:pStyle w:val="107"/>
        <w:spacing w:before="240" w:after="240"/>
      </w:pPr>
      <w:bookmarkStart w:id="163" w:name="_Toc83893140"/>
      <w:bookmarkStart w:id="164" w:name="_Toc83893103"/>
      <w:bookmarkStart w:id="165" w:name="_Toc201916960"/>
      <w:bookmarkStart w:id="166" w:name="_Toc70341319"/>
      <w:bookmarkStart w:id="167" w:name="_Toc76128043"/>
      <w:bookmarkStart w:id="168" w:name="_Toc76128072"/>
      <w:r>
        <w:rPr>
          <w:rFonts w:hint="eastAsia"/>
        </w:rPr>
        <w:t>方法特性</w:t>
      </w:r>
      <w:bookmarkEnd w:id="163"/>
      <w:bookmarkEnd w:id="164"/>
      <w:bookmarkEnd w:id="165"/>
      <w:bookmarkEnd w:id="166"/>
      <w:bookmarkEnd w:id="167"/>
      <w:bookmarkEnd w:id="168"/>
    </w:p>
    <w:p w14:paraId="3C31FE26">
      <w:pPr>
        <w:pStyle w:val="108"/>
        <w:spacing w:before="120" w:after="120"/>
        <w:ind w:left="0"/>
      </w:pPr>
      <w:bookmarkStart w:id="169" w:name="_Toc76128073"/>
      <w:bookmarkStart w:id="170" w:name="_Toc70341320"/>
      <w:bookmarkStart w:id="171" w:name="_Toc83893141"/>
      <w:bookmarkStart w:id="172" w:name="_Toc76128044"/>
      <w:r>
        <w:rPr>
          <w:rFonts w:hint="eastAsia"/>
        </w:rPr>
        <w:t>方法检出限和定量限</w:t>
      </w:r>
      <w:bookmarkEnd w:id="169"/>
      <w:bookmarkEnd w:id="170"/>
      <w:bookmarkEnd w:id="171"/>
      <w:bookmarkEnd w:id="172"/>
    </w:p>
    <w:p w14:paraId="64EFDDB5">
      <w:pPr>
        <w:pStyle w:val="59"/>
        <w:ind w:firstLine="420"/>
        <w:rPr>
          <w:rFonts w:hAnsi="宋体"/>
          <w:szCs w:val="21"/>
        </w:rPr>
      </w:pPr>
      <w:r>
        <w:rPr>
          <w:rFonts w:hAnsi="宋体"/>
          <w:szCs w:val="21"/>
        </w:rPr>
        <w:t>8种</w:t>
      </w:r>
      <w:r>
        <w:rPr>
          <w:rFonts w:hint="eastAsia" w:ascii="Times New Roman"/>
        </w:rPr>
        <w:t>农药</w:t>
      </w:r>
      <w:r>
        <w:rPr>
          <w:rFonts w:ascii="Times New Roman"/>
        </w:rPr>
        <w:t>及</w:t>
      </w:r>
      <w:r>
        <w:rPr>
          <w:rFonts w:hAnsi="宋体"/>
          <w:szCs w:val="21"/>
        </w:rPr>
        <w:t>代谢物的</w:t>
      </w:r>
      <w:r>
        <w:rPr>
          <w:rFonts w:hint="eastAsia" w:hAnsi="宋体"/>
          <w:szCs w:val="21"/>
        </w:rPr>
        <w:t>方法</w:t>
      </w:r>
      <w:r>
        <w:rPr>
          <w:rFonts w:hAnsi="宋体"/>
          <w:szCs w:val="21"/>
        </w:rPr>
        <w:t>检出限</w:t>
      </w:r>
      <w:r>
        <w:rPr>
          <w:rFonts w:hint="eastAsia" w:hAnsi="宋体"/>
          <w:szCs w:val="21"/>
        </w:rPr>
        <w:t>为</w:t>
      </w:r>
      <w:r>
        <w:rPr>
          <w:rFonts w:hAnsi="宋体"/>
          <w:szCs w:val="21"/>
        </w:rPr>
        <w:t xml:space="preserve">0.03 </w:t>
      </w:r>
      <w:r>
        <w:rPr>
          <w:rFonts w:ascii="Times New Roman"/>
          <w:szCs w:val="21"/>
        </w:rPr>
        <w:t>μ</w:t>
      </w:r>
      <w:r>
        <w:rPr>
          <w:rFonts w:ascii="Times New Roman"/>
        </w:rPr>
        <w:t>g/L</w:t>
      </w:r>
      <w:r>
        <w:rPr>
          <w:rFonts w:hAnsi="宋体"/>
          <w:szCs w:val="21"/>
        </w:rPr>
        <w:t xml:space="preserve"> </w:t>
      </w:r>
      <w:r>
        <w:rPr>
          <w:rFonts w:ascii="Times New Roman"/>
          <w:szCs w:val="21"/>
        </w:rPr>
        <w:t xml:space="preserve">~ </w:t>
      </w:r>
      <w:r>
        <w:rPr>
          <w:rFonts w:hAnsi="宋体"/>
          <w:szCs w:val="21"/>
        </w:rPr>
        <w:t xml:space="preserve">0.10 </w:t>
      </w:r>
      <w:r>
        <w:rPr>
          <w:rFonts w:ascii="Times New Roman"/>
          <w:szCs w:val="21"/>
        </w:rPr>
        <w:t>μ</w:t>
      </w:r>
      <w:r>
        <w:rPr>
          <w:rFonts w:ascii="Times New Roman"/>
        </w:rPr>
        <w:t>g/L</w:t>
      </w:r>
      <w:r>
        <w:rPr>
          <w:rFonts w:hAnsi="宋体"/>
          <w:szCs w:val="21"/>
        </w:rPr>
        <w:t>，</w:t>
      </w:r>
      <w:r>
        <w:rPr>
          <w:rFonts w:hint="eastAsia" w:hAnsi="宋体"/>
          <w:szCs w:val="21"/>
        </w:rPr>
        <w:t>方法</w:t>
      </w:r>
      <w:r>
        <w:rPr>
          <w:rFonts w:hAnsi="宋体"/>
          <w:szCs w:val="21"/>
        </w:rPr>
        <w:t>定量限为</w:t>
      </w:r>
      <w:r>
        <w:rPr>
          <w:rFonts w:hint="eastAsia" w:hAnsi="宋体"/>
          <w:szCs w:val="21"/>
        </w:rPr>
        <w:t>0</w:t>
      </w:r>
      <w:r>
        <w:rPr>
          <w:rFonts w:hAnsi="宋体"/>
          <w:szCs w:val="21"/>
        </w:rPr>
        <w:t xml:space="preserve">.10 </w:t>
      </w:r>
      <w:r>
        <w:rPr>
          <w:rFonts w:ascii="Times New Roman"/>
          <w:szCs w:val="21"/>
        </w:rPr>
        <w:t>μ</w:t>
      </w:r>
      <w:r>
        <w:rPr>
          <w:rFonts w:ascii="Times New Roman"/>
        </w:rPr>
        <w:t>g/L</w:t>
      </w:r>
      <w:r>
        <w:rPr>
          <w:rFonts w:ascii="Times New Roman"/>
          <w:szCs w:val="21"/>
        </w:rPr>
        <w:t xml:space="preserve">~ </w:t>
      </w:r>
      <w:r>
        <w:rPr>
          <w:rFonts w:hAnsi="宋体"/>
          <w:szCs w:val="21"/>
        </w:rPr>
        <w:t xml:space="preserve">0.20 </w:t>
      </w:r>
      <w:r>
        <w:rPr>
          <w:rFonts w:ascii="Times New Roman"/>
          <w:szCs w:val="21"/>
        </w:rPr>
        <w:t>μ</w:t>
      </w:r>
      <w:r>
        <w:rPr>
          <w:rFonts w:ascii="Times New Roman"/>
        </w:rPr>
        <w:t>g/L</w:t>
      </w:r>
      <w:r>
        <w:rPr>
          <w:rFonts w:hAnsi="宋体"/>
          <w:szCs w:val="21"/>
        </w:rPr>
        <w:t>，</w:t>
      </w:r>
      <w:r>
        <w:rPr>
          <w:rFonts w:hint="eastAsia" w:hAnsi="宋体"/>
          <w:szCs w:val="21"/>
        </w:rPr>
        <w:t>具体</w:t>
      </w:r>
      <w:r>
        <w:rPr>
          <w:rFonts w:hAnsi="宋体"/>
          <w:szCs w:val="21"/>
        </w:rPr>
        <w:t>见表3。</w:t>
      </w:r>
    </w:p>
    <w:p w14:paraId="611943CA">
      <w:pPr>
        <w:pStyle w:val="115"/>
        <w:spacing w:before="120" w:after="120"/>
      </w:pPr>
      <w:r>
        <w:t>8种</w:t>
      </w:r>
      <w:r>
        <w:rPr>
          <w:rFonts w:hint="eastAsia"/>
        </w:rPr>
        <w:t>农药及代谢物的方法检出限和定量限</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694"/>
        <w:gridCol w:w="3112"/>
        <w:gridCol w:w="3112"/>
      </w:tblGrid>
      <w:tr w14:paraId="58CC4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694" w:type="dxa"/>
            <w:tcBorders>
              <w:top w:val="single" w:color="auto" w:sz="8" w:space="0"/>
              <w:bottom w:val="single" w:color="auto" w:sz="8" w:space="0"/>
            </w:tcBorders>
            <w:shd w:val="clear" w:color="auto" w:fill="auto"/>
            <w:vAlign w:val="center"/>
          </w:tcPr>
          <w:p w14:paraId="214A90D3">
            <w:pPr>
              <w:pStyle w:val="181"/>
              <w:adjustRightInd w:val="0"/>
              <w:snapToGrid w:val="0"/>
              <w:rPr>
                <w:rFonts w:hAnsi="宋体"/>
              </w:rPr>
            </w:pPr>
            <w:r>
              <w:rPr>
                <w:rFonts w:hint="eastAsia" w:hAnsi="宋体"/>
              </w:rPr>
              <w:t>目标分析物</w:t>
            </w:r>
          </w:p>
        </w:tc>
        <w:tc>
          <w:tcPr>
            <w:tcW w:w="3112" w:type="dxa"/>
            <w:tcBorders>
              <w:top w:val="single" w:color="auto" w:sz="8" w:space="0"/>
              <w:bottom w:val="single" w:color="auto" w:sz="8" w:space="0"/>
            </w:tcBorders>
            <w:shd w:val="clear" w:color="auto" w:fill="auto"/>
            <w:vAlign w:val="center"/>
          </w:tcPr>
          <w:p w14:paraId="44A2AC78">
            <w:pPr>
              <w:pStyle w:val="181"/>
              <w:adjustRightInd w:val="0"/>
              <w:snapToGrid w:val="0"/>
              <w:rPr>
                <w:rFonts w:ascii="Times New Roman"/>
              </w:rPr>
            </w:pPr>
            <w:r>
              <w:rPr>
                <w:rFonts w:ascii="Times New Roman"/>
              </w:rPr>
              <w:t>方法检出限</w:t>
            </w:r>
            <w:r>
              <w:rPr>
                <w:rFonts w:hAnsi="宋体"/>
              </w:rPr>
              <w:t>/</w:t>
            </w:r>
            <w:r>
              <w:rPr>
                <w:rFonts w:ascii="Times New Roman"/>
              </w:rPr>
              <w:t>（</w:t>
            </w:r>
            <w:r>
              <w:rPr>
                <w:rFonts w:ascii="Times New Roman"/>
                <w:szCs w:val="21"/>
              </w:rPr>
              <w:t>μg/L）</w:t>
            </w:r>
          </w:p>
        </w:tc>
        <w:tc>
          <w:tcPr>
            <w:tcW w:w="3112" w:type="dxa"/>
            <w:tcBorders>
              <w:top w:val="single" w:color="auto" w:sz="8" w:space="0"/>
              <w:bottom w:val="single" w:color="auto" w:sz="8" w:space="0"/>
            </w:tcBorders>
            <w:shd w:val="clear" w:color="auto" w:fill="auto"/>
            <w:vAlign w:val="center"/>
          </w:tcPr>
          <w:p w14:paraId="2FBF4BD1">
            <w:pPr>
              <w:pStyle w:val="181"/>
              <w:adjustRightInd w:val="0"/>
              <w:snapToGrid w:val="0"/>
              <w:rPr>
                <w:rFonts w:ascii="Times New Roman"/>
              </w:rPr>
            </w:pPr>
            <w:r>
              <w:rPr>
                <w:rFonts w:ascii="Times New Roman"/>
              </w:rPr>
              <w:t>方法定量限</w:t>
            </w:r>
            <w:r>
              <w:rPr>
                <w:rFonts w:hAnsi="宋体"/>
              </w:rPr>
              <w:t>/</w:t>
            </w:r>
            <w:r>
              <w:rPr>
                <w:rFonts w:ascii="Times New Roman"/>
                <w:szCs w:val="21"/>
              </w:rPr>
              <w:t>（μg/L）</w:t>
            </w:r>
          </w:p>
        </w:tc>
      </w:tr>
      <w:tr w14:paraId="63C44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tcBorders>
              <w:top w:val="single" w:color="auto" w:sz="8" w:space="0"/>
            </w:tcBorders>
            <w:shd w:val="clear" w:color="auto" w:fill="auto"/>
            <w:vAlign w:val="center"/>
          </w:tcPr>
          <w:p w14:paraId="305A6A3A">
            <w:pPr>
              <w:pStyle w:val="181"/>
              <w:rPr>
                <w:rFonts w:ascii="Times New Roman"/>
              </w:rPr>
            </w:pPr>
            <w:r>
              <w:rPr>
                <w:rFonts w:hint="eastAsia" w:ascii="Times New Roman"/>
              </w:rPr>
              <w:t>P</w:t>
            </w:r>
            <w:r>
              <w:rPr>
                <w:rFonts w:ascii="Times New Roman"/>
              </w:rPr>
              <w:t>NP</w:t>
            </w:r>
          </w:p>
        </w:tc>
        <w:tc>
          <w:tcPr>
            <w:tcW w:w="3112" w:type="dxa"/>
            <w:tcBorders>
              <w:top w:val="single" w:color="auto" w:sz="8" w:space="0"/>
            </w:tcBorders>
            <w:shd w:val="clear" w:color="auto" w:fill="auto"/>
            <w:vAlign w:val="center"/>
          </w:tcPr>
          <w:p w14:paraId="17AA0B90">
            <w:pPr>
              <w:pStyle w:val="181"/>
              <w:rPr>
                <w:rFonts w:hAnsi="宋体"/>
              </w:rPr>
            </w:pPr>
            <w:r>
              <w:t>0.1</w:t>
            </w:r>
          </w:p>
        </w:tc>
        <w:tc>
          <w:tcPr>
            <w:tcW w:w="3112" w:type="dxa"/>
            <w:tcBorders>
              <w:top w:val="single" w:color="auto" w:sz="8" w:space="0"/>
            </w:tcBorders>
            <w:shd w:val="clear" w:color="auto" w:fill="auto"/>
            <w:vAlign w:val="center"/>
          </w:tcPr>
          <w:p w14:paraId="718A5AA4">
            <w:pPr>
              <w:pStyle w:val="181"/>
              <w:rPr>
                <w:rFonts w:hAnsi="宋体"/>
              </w:rPr>
            </w:pPr>
            <w:r>
              <w:t>0.20</w:t>
            </w:r>
          </w:p>
        </w:tc>
      </w:tr>
      <w:tr w14:paraId="62D52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7B42E093">
            <w:pPr>
              <w:pStyle w:val="181"/>
              <w:rPr>
                <w:rFonts w:ascii="Times New Roman"/>
              </w:rPr>
            </w:pPr>
            <w:r>
              <w:rPr>
                <w:rFonts w:ascii="Times New Roman"/>
              </w:rPr>
              <w:t>TCPY</w:t>
            </w:r>
          </w:p>
        </w:tc>
        <w:tc>
          <w:tcPr>
            <w:tcW w:w="3112" w:type="dxa"/>
            <w:shd w:val="clear" w:color="auto" w:fill="auto"/>
            <w:vAlign w:val="center"/>
          </w:tcPr>
          <w:p w14:paraId="4FAE5326">
            <w:pPr>
              <w:pStyle w:val="181"/>
              <w:rPr>
                <w:rFonts w:hAnsi="宋体"/>
              </w:rPr>
            </w:pPr>
            <w:r>
              <w:t>0.05</w:t>
            </w:r>
          </w:p>
        </w:tc>
        <w:tc>
          <w:tcPr>
            <w:tcW w:w="3112" w:type="dxa"/>
            <w:shd w:val="clear" w:color="auto" w:fill="auto"/>
            <w:vAlign w:val="center"/>
          </w:tcPr>
          <w:p w14:paraId="6DB8BA6F">
            <w:pPr>
              <w:pStyle w:val="181"/>
              <w:rPr>
                <w:rFonts w:hAnsi="宋体"/>
              </w:rPr>
            </w:pPr>
            <w:r>
              <w:t>0.20</w:t>
            </w:r>
          </w:p>
        </w:tc>
      </w:tr>
      <w:tr w14:paraId="55D45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2694" w:type="dxa"/>
            <w:shd w:val="clear" w:color="auto" w:fill="auto"/>
            <w:vAlign w:val="center"/>
          </w:tcPr>
          <w:p w14:paraId="2672A635">
            <w:pPr>
              <w:pStyle w:val="181"/>
              <w:rPr>
                <w:rFonts w:ascii="Times New Roman"/>
              </w:rPr>
            </w:pPr>
            <w:r>
              <w:rPr>
                <w:rFonts w:ascii="Times New Roman"/>
              </w:rPr>
              <w:t>3-PBA</w:t>
            </w:r>
          </w:p>
        </w:tc>
        <w:tc>
          <w:tcPr>
            <w:tcW w:w="3112" w:type="dxa"/>
            <w:shd w:val="clear" w:color="auto" w:fill="auto"/>
            <w:vAlign w:val="center"/>
          </w:tcPr>
          <w:p w14:paraId="175EF5A8">
            <w:pPr>
              <w:pStyle w:val="181"/>
              <w:rPr>
                <w:rFonts w:hAnsi="宋体"/>
              </w:rPr>
            </w:pPr>
            <w:r>
              <w:t>0.03</w:t>
            </w:r>
          </w:p>
        </w:tc>
        <w:tc>
          <w:tcPr>
            <w:tcW w:w="3112" w:type="dxa"/>
            <w:shd w:val="clear" w:color="auto" w:fill="auto"/>
            <w:vAlign w:val="center"/>
          </w:tcPr>
          <w:p w14:paraId="3102DC90">
            <w:pPr>
              <w:pStyle w:val="181"/>
              <w:rPr>
                <w:rFonts w:hAnsi="宋体"/>
              </w:rPr>
            </w:pPr>
            <w:r>
              <w:t>0.10</w:t>
            </w:r>
          </w:p>
        </w:tc>
      </w:tr>
      <w:tr w14:paraId="78A0F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4D6B4929">
            <w:pPr>
              <w:pStyle w:val="181"/>
              <w:rPr>
                <w:rFonts w:ascii="Times New Roman"/>
              </w:rPr>
            </w:pPr>
            <w:r>
              <w:rPr>
                <w:rFonts w:ascii="Times New Roman"/>
              </w:rPr>
              <w:t>4F-3PBA</w:t>
            </w:r>
          </w:p>
        </w:tc>
        <w:tc>
          <w:tcPr>
            <w:tcW w:w="3112" w:type="dxa"/>
            <w:shd w:val="clear" w:color="auto" w:fill="auto"/>
            <w:vAlign w:val="center"/>
          </w:tcPr>
          <w:p w14:paraId="27E285C2">
            <w:pPr>
              <w:pStyle w:val="181"/>
              <w:rPr>
                <w:rFonts w:hAnsi="宋体"/>
              </w:rPr>
            </w:pPr>
            <w:r>
              <w:t>0.03</w:t>
            </w:r>
          </w:p>
        </w:tc>
        <w:tc>
          <w:tcPr>
            <w:tcW w:w="3112" w:type="dxa"/>
            <w:shd w:val="clear" w:color="auto" w:fill="auto"/>
            <w:vAlign w:val="center"/>
          </w:tcPr>
          <w:p w14:paraId="3832317A">
            <w:pPr>
              <w:pStyle w:val="181"/>
              <w:rPr>
                <w:rFonts w:hAnsi="宋体"/>
              </w:rPr>
            </w:pPr>
            <w:r>
              <w:t>0.10</w:t>
            </w:r>
          </w:p>
        </w:tc>
      </w:tr>
      <w:tr w14:paraId="461D5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518523BF">
            <w:pPr>
              <w:pStyle w:val="181"/>
              <w:rPr>
                <w:rFonts w:ascii="Times New Roman"/>
              </w:rPr>
            </w:pPr>
            <w:r>
              <w:rPr>
                <w:rFonts w:hint="eastAsia" w:ascii="Times New Roman"/>
              </w:rPr>
              <w:t>c</w:t>
            </w:r>
            <w:r>
              <w:rPr>
                <w:rFonts w:ascii="Times New Roman"/>
              </w:rPr>
              <w:t>is-DCCA</w:t>
            </w:r>
          </w:p>
        </w:tc>
        <w:tc>
          <w:tcPr>
            <w:tcW w:w="3112" w:type="dxa"/>
            <w:shd w:val="clear" w:color="auto" w:fill="auto"/>
            <w:vAlign w:val="center"/>
          </w:tcPr>
          <w:p w14:paraId="7BB93637">
            <w:pPr>
              <w:pStyle w:val="181"/>
              <w:rPr>
                <w:rFonts w:hAnsi="宋体"/>
              </w:rPr>
            </w:pPr>
            <w:r>
              <w:t>0.06</w:t>
            </w:r>
          </w:p>
        </w:tc>
        <w:tc>
          <w:tcPr>
            <w:tcW w:w="3112" w:type="dxa"/>
            <w:shd w:val="clear" w:color="auto" w:fill="auto"/>
            <w:vAlign w:val="center"/>
          </w:tcPr>
          <w:p w14:paraId="0B61E866">
            <w:pPr>
              <w:pStyle w:val="181"/>
              <w:rPr>
                <w:rFonts w:hAnsi="宋体"/>
              </w:rPr>
            </w:pPr>
            <w:r>
              <w:t>0.20</w:t>
            </w:r>
          </w:p>
        </w:tc>
      </w:tr>
      <w:tr w14:paraId="01FA7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6E254CB1">
            <w:pPr>
              <w:pStyle w:val="181"/>
              <w:rPr>
                <w:rFonts w:ascii="Times New Roman"/>
              </w:rPr>
            </w:pPr>
            <w:r>
              <w:rPr>
                <w:rFonts w:hint="eastAsia" w:ascii="Times New Roman"/>
              </w:rPr>
              <w:t>t</w:t>
            </w:r>
            <w:r>
              <w:rPr>
                <w:rFonts w:ascii="Times New Roman"/>
              </w:rPr>
              <w:t>rans-DCCA</w:t>
            </w:r>
          </w:p>
        </w:tc>
        <w:tc>
          <w:tcPr>
            <w:tcW w:w="3112" w:type="dxa"/>
            <w:shd w:val="clear" w:color="auto" w:fill="auto"/>
            <w:vAlign w:val="center"/>
          </w:tcPr>
          <w:p w14:paraId="27FC255A">
            <w:pPr>
              <w:pStyle w:val="181"/>
              <w:rPr>
                <w:rFonts w:hAnsi="宋体"/>
              </w:rPr>
            </w:pPr>
            <w:r>
              <w:t>0.03</w:t>
            </w:r>
          </w:p>
        </w:tc>
        <w:tc>
          <w:tcPr>
            <w:tcW w:w="3112" w:type="dxa"/>
            <w:shd w:val="clear" w:color="auto" w:fill="auto"/>
            <w:vAlign w:val="center"/>
          </w:tcPr>
          <w:p w14:paraId="0F31BBB3">
            <w:pPr>
              <w:pStyle w:val="181"/>
              <w:rPr>
                <w:rFonts w:hAnsi="宋体"/>
              </w:rPr>
            </w:pPr>
            <w:r>
              <w:t>0.10</w:t>
            </w:r>
          </w:p>
        </w:tc>
      </w:tr>
      <w:tr w14:paraId="396D3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00FC01B8">
            <w:pPr>
              <w:pStyle w:val="181"/>
              <w:rPr>
                <w:rFonts w:ascii="Times New Roman"/>
              </w:rPr>
            </w:pPr>
            <w:r>
              <w:rPr>
                <w:rFonts w:ascii="Times New Roman"/>
              </w:rPr>
              <w:t>2,4-D</w:t>
            </w:r>
          </w:p>
        </w:tc>
        <w:tc>
          <w:tcPr>
            <w:tcW w:w="3112" w:type="dxa"/>
            <w:shd w:val="clear" w:color="auto" w:fill="auto"/>
            <w:vAlign w:val="center"/>
          </w:tcPr>
          <w:p w14:paraId="5EDAA93D">
            <w:pPr>
              <w:pStyle w:val="181"/>
              <w:rPr>
                <w:rFonts w:hAnsi="宋体"/>
              </w:rPr>
            </w:pPr>
            <w:r>
              <w:t>0.03</w:t>
            </w:r>
          </w:p>
        </w:tc>
        <w:tc>
          <w:tcPr>
            <w:tcW w:w="3112" w:type="dxa"/>
            <w:shd w:val="clear" w:color="auto" w:fill="auto"/>
            <w:vAlign w:val="center"/>
          </w:tcPr>
          <w:p w14:paraId="059B7F3F">
            <w:pPr>
              <w:pStyle w:val="181"/>
              <w:rPr>
                <w:rFonts w:hAnsi="宋体"/>
              </w:rPr>
            </w:pPr>
            <w:r>
              <w:t>0.10</w:t>
            </w:r>
          </w:p>
        </w:tc>
      </w:tr>
      <w:tr w14:paraId="379DD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2F017BD9">
            <w:pPr>
              <w:pStyle w:val="181"/>
              <w:rPr>
                <w:rFonts w:ascii="Times New Roman"/>
              </w:rPr>
            </w:pPr>
            <w:r>
              <w:rPr>
                <w:rFonts w:ascii="Times New Roman"/>
              </w:rPr>
              <w:t>2,4,5-T</w:t>
            </w:r>
          </w:p>
        </w:tc>
        <w:tc>
          <w:tcPr>
            <w:tcW w:w="3112" w:type="dxa"/>
            <w:shd w:val="clear" w:color="auto" w:fill="auto"/>
            <w:vAlign w:val="center"/>
          </w:tcPr>
          <w:p w14:paraId="66F904E7">
            <w:pPr>
              <w:pStyle w:val="181"/>
              <w:rPr>
                <w:rFonts w:hAnsi="宋体"/>
              </w:rPr>
            </w:pPr>
            <w:r>
              <w:t>0.03</w:t>
            </w:r>
          </w:p>
        </w:tc>
        <w:tc>
          <w:tcPr>
            <w:tcW w:w="3112" w:type="dxa"/>
            <w:shd w:val="clear" w:color="auto" w:fill="auto"/>
            <w:vAlign w:val="center"/>
          </w:tcPr>
          <w:p w14:paraId="7A3E0049">
            <w:pPr>
              <w:pStyle w:val="181"/>
              <w:rPr>
                <w:rFonts w:hAnsi="宋体"/>
              </w:rPr>
            </w:pPr>
            <w:r>
              <w:t>0.10</w:t>
            </w:r>
          </w:p>
        </w:tc>
      </w:tr>
    </w:tbl>
    <w:p w14:paraId="4A9F50BF">
      <w:pPr>
        <w:pStyle w:val="108"/>
        <w:spacing w:before="120" w:after="120"/>
        <w:ind w:left="0"/>
      </w:pPr>
      <w:bookmarkStart w:id="173" w:name="_Toc70341321"/>
      <w:bookmarkStart w:id="174" w:name="_Toc83893142"/>
      <w:bookmarkStart w:id="175" w:name="_Toc76128074"/>
      <w:bookmarkStart w:id="176" w:name="_Toc76128045"/>
      <w:r>
        <w:rPr>
          <w:rFonts w:hint="eastAsia"/>
        </w:rPr>
        <w:t>精密度和回收率</w:t>
      </w:r>
      <w:bookmarkEnd w:id="173"/>
      <w:bookmarkEnd w:id="174"/>
      <w:bookmarkEnd w:id="175"/>
      <w:bookmarkEnd w:id="176"/>
    </w:p>
    <w:p w14:paraId="21CB2DB6">
      <w:pPr>
        <w:pStyle w:val="59"/>
        <w:ind w:firstLine="420"/>
        <w:rPr>
          <w:rFonts w:hAnsi="宋体"/>
          <w:szCs w:val="21"/>
        </w:rPr>
      </w:pPr>
      <w:r>
        <w:rPr>
          <w:rFonts w:ascii="Times New Roman"/>
          <w:szCs w:val="21"/>
        </w:rPr>
        <w:t>8种目标分析物在</w:t>
      </w:r>
      <w:r>
        <w:rPr>
          <w:rFonts w:hint="eastAsia" w:hAnsi="宋体"/>
          <w:szCs w:val="21"/>
        </w:rPr>
        <w:t>加标浓度在</w:t>
      </w:r>
      <w:r>
        <w:rPr>
          <w:rFonts w:hAnsi="宋体"/>
          <w:szCs w:val="21"/>
        </w:rPr>
        <w:t xml:space="preserve">1.0 </w:t>
      </w:r>
      <w:r>
        <w:rPr>
          <w:rFonts w:ascii="Times New Roman"/>
          <w:szCs w:val="21"/>
        </w:rPr>
        <w:t>μg/L~</w:t>
      </w:r>
      <w:r>
        <w:rPr>
          <w:rFonts w:hAnsi="宋体"/>
          <w:szCs w:val="21"/>
        </w:rPr>
        <w:t xml:space="preserve">80 </w:t>
      </w:r>
      <w:r>
        <w:rPr>
          <w:rFonts w:ascii="Times New Roman"/>
          <w:szCs w:val="21"/>
        </w:rPr>
        <w:t>μg/L</w:t>
      </w:r>
      <w:r>
        <w:rPr>
          <w:rFonts w:hint="eastAsia" w:hAnsi="宋体"/>
          <w:szCs w:val="21"/>
        </w:rPr>
        <w:t>之间，回收率为</w:t>
      </w:r>
      <w:r>
        <w:rPr>
          <w:rFonts w:hAnsi="宋体"/>
          <w:szCs w:val="21"/>
        </w:rPr>
        <w:t>80</w:t>
      </w:r>
      <w:r>
        <w:rPr>
          <w:rFonts w:hint="eastAsia" w:hAnsi="宋体"/>
          <w:szCs w:val="21"/>
        </w:rPr>
        <w:t>%</w:t>
      </w:r>
      <w:r>
        <w:rPr>
          <w:rFonts w:ascii="Times New Roman"/>
          <w:szCs w:val="21"/>
        </w:rPr>
        <w:t>~</w:t>
      </w:r>
      <w:r>
        <w:rPr>
          <w:rFonts w:hAnsi="宋体"/>
          <w:szCs w:val="21"/>
        </w:rPr>
        <w:t>120</w:t>
      </w:r>
      <w:r>
        <w:rPr>
          <w:rFonts w:hint="eastAsia" w:hAnsi="宋体"/>
          <w:szCs w:val="21"/>
        </w:rPr>
        <w:t>%，精密度为</w:t>
      </w:r>
      <w:r>
        <w:rPr>
          <w:rFonts w:hAnsi="宋体"/>
          <w:szCs w:val="21"/>
        </w:rPr>
        <w:t>1.5</w:t>
      </w:r>
      <w:r>
        <w:rPr>
          <w:rFonts w:hint="eastAsia" w:hAnsi="宋体"/>
          <w:szCs w:val="21"/>
        </w:rPr>
        <w:t>%</w:t>
      </w:r>
      <w:r>
        <w:rPr>
          <w:rFonts w:hAnsi="宋体"/>
          <w:szCs w:val="21"/>
        </w:rPr>
        <w:t xml:space="preserve"> </w:t>
      </w:r>
      <w:r>
        <w:rPr>
          <w:rFonts w:ascii="Times New Roman"/>
          <w:szCs w:val="21"/>
        </w:rPr>
        <w:t xml:space="preserve">~ </w:t>
      </w:r>
      <w:r>
        <w:rPr>
          <w:rFonts w:hAnsi="宋体"/>
          <w:szCs w:val="21"/>
        </w:rPr>
        <w:t>13</w:t>
      </w:r>
      <w:r>
        <w:rPr>
          <w:rFonts w:hint="eastAsia" w:hAnsi="宋体"/>
          <w:szCs w:val="21"/>
        </w:rPr>
        <w:t>%。</w:t>
      </w:r>
    </w:p>
    <w:p w14:paraId="07B23731">
      <w:pPr>
        <w:pStyle w:val="107"/>
        <w:spacing w:before="240" w:after="240"/>
      </w:pPr>
      <w:bookmarkStart w:id="177" w:name="_Toc76128046"/>
      <w:bookmarkStart w:id="178" w:name="_Toc83893104"/>
      <w:bookmarkStart w:id="179" w:name="_Toc201916961"/>
      <w:bookmarkStart w:id="180" w:name="_Toc83893143"/>
      <w:bookmarkStart w:id="181" w:name="_Toc76128075"/>
      <w:bookmarkStart w:id="182" w:name="_Toc70341322"/>
      <w:r>
        <w:rPr>
          <w:rFonts w:hint="eastAsia"/>
        </w:rPr>
        <w:t>质量保证和控制</w:t>
      </w:r>
      <w:bookmarkEnd w:id="177"/>
      <w:bookmarkEnd w:id="178"/>
      <w:bookmarkEnd w:id="179"/>
      <w:bookmarkEnd w:id="180"/>
      <w:bookmarkEnd w:id="181"/>
      <w:bookmarkEnd w:id="182"/>
    </w:p>
    <w:p w14:paraId="0FA06A94">
      <w:pPr>
        <w:pStyle w:val="165"/>
        <w:ind w:left="0"/>
        <w:rPr>
          <w:rFonts w:hAnsi="宋体"/>
          <w:color w:val="000000" w:themeColor="text1"/>
          <w14:textFill>
            <w14:solidFill>
              <w14:schemeClr w14:val="tx1"/>
            </w14:solidFill>
          </w14:textFill>
        </w:rPr>
      </w:pPr>
      <w:r>
        <w:rPr>
          <w:rFonts w:hint="eastAsia" w:hAnsi="宋体"/>
          <w:szCs w:val="21"/>
        </w:rPr>
        <w:t>实验室应经常考察质控结果、精密度和回收率，以确定分析系统处于正常状态。</w:t>
      </w:r>
    </w:p>
    <w:p w14:paraId="12E853B1">
      <w:pPr>
        <w:pStyle w:val="165"/>
        <w:ind w:left="0"/>
        <w:rPr>
          <w:rFonts w:hAnsi="宋体"/>
        </w:rPr>
      </w:pPr>
      <w:r>
        <w:rPr>
          <w:rFonts w:hint="eastAsia" w:hAnsi="宋体"/>
          <w:color w:val="000000" w:themeColor="text1"/>
          <w:szCs w:val="21"/>
          <w14:textFill>
            <w14:solidFill>
              <w14:schemeClr w14:val="tx1"/>
            </w14:solidFill>
          </w14:textFill>
        </w:rPr>
        <w:t>每批试验应至少</w:t>
      </w:r>
      <w:r>
        <w:rPr>
          <w:rFonts w:hAnsi="宋体"/>
          <w:color w:val="000000" w:themeColor="text1"/>
          <w:szCs w:val="21"/>
          <w14:textFill>
            <w14:solidFill>
              <w14:schemeClr w14:val="tx1"/>
            </w14:solidFill>
          </w14:textFill>
        </w:rPr>
        <w:t>包含1个质控</w:t>
      </w:r>
      <w:r>
        <w:rPr>
          <w:rFonts w:hint="eastAsia" w:hAnsi="宋体"/>
          <w:color w:val="000000" w:themeColor="text1"/>
          <w:szCs w:val="21"/>
          <w14:textFill>
            <w14:solidFill>
              <w14:schemeClr w14:val="tx1"/>
            </w14:solidFill>
          </w14:textFill>
        </w:rPr>
        <w:t>样</w:t>
      </w:r>
      <w:r>
        <w:rPr>
          <w:rFonts w:hAnsi="宋体"/>
          <w:color w:val="000000" w:themeColor="text1"/>
          <w:szCs w:val="21"/>
          <w14:textFill>
            <w14:solidFill>
              <w14:schemeClr w14:val="tx1"/>
            </w14:solidFill>
          </w14:textFill>
        </w:rPr>
        <w:t>，1个</w:t>
      </w:r>
      <w:r>
        <w:rPr>
          <w:rFonts w:hint="eastAsia" w:hAnsi="宋体"/>
          <w:color w:val="000000" w:themeColor="text1"/>
          <w:szCs w:val="21"/>
          <w14:textFill>
            <w14:solidFill>
              <w14:schemeClr w14:val="tx1"/>
            </w14:solidFill>
          </w14:textFill>
        </w:rPr>
        <w:t>方法</w:t>
      </w:r>
      <w:r>
        <w:rPr>
          <w:rFonts w:hAnsi="宋体"/>
          <w:color w:val="000000" w:themeColor="text1"/>
          <w:szCs w:val="21"/>
          <w14:textFill>
            <w14:solidFill>
              <w14:schemeClr w14:val="tx1"/>
            </w14:solidFill>
          </w14:textFill>
        </w:rPr>
        <w:t>空白，并按5%的比例设置平行样</w:t>
      </w:r>
      <w:r>
        <w:rPr>
          <w:rFonts w:hint="eastAsia" w:hAnsi="宋体"/>
          <w:color w:val="000000" w:themeColor="text1"/>
          <w:szCs w:val="21"/>
          <w14:textFill>
            <w14:solidFill>
              <w14:schemeClr w14:val="tx1"/>
            </w14:solidFill>
          </w14:textFill>
        </w:rPr>
        <w:t>（不足20个样本时至少设置1个平行样）。</w:t>
      </w:r>
    </w:p>
    <w:p w14:paraId="75DF5C47">
      <w:pPr>
        <w:pStyle w:val="165"/>
        <w:ind w:left="0"/>
        <w:rPr>
          <w:rFonts w:hAnsi="宋体"/>
        </w:rPr>
      </w:pPr>
      <w:r>
        <w:rPr>
          <w:rFonts w:hint="eastAsia" w:hAnsi="宋体"/>
          <w:color w:val="000000" w:themeColor="text1"/>
          <w:szCs w:val="21"/>
          <w14:textFill>
            <w14:solidFill>
              <w14:schemeClr w14:val="tx1"/>
            </w14:solidFill>
          </w14:textFill>
        </w:rPr>
        <w:t>可使用标准参考物质、质控样本和加标回收等方式评估方法准确性。标准参考物质的检测结果应符合给定的参考值范围；</w:t>
      </w:r>
      <w:r>
        <w:rPr>
          <w:rFonts w:hAnsi="宋体"/>
          <w:color w:val="000000" w:themeColor="text1"/>
          <w:szCs w:val="21"/>
          <w14:textFill>
            <w14:solidFill>
              <w14:schemeClr w14:val="tx1"/>
            </w14:solidFill>
          </w14:textFill>
        </w:rPr>
        <w:t>质控样</w:t>
      </w:r>
      <w:r>
        <w:rPr>
          <w:rFonts w:hint="eastAsia" w:hAnsi="宋体"/>
          <w:color w:val="000000" w:themeColor="text1"/>
          <w:szCs w:val="21"/>
          <w14:textFill>
            <w14:solidFill>
              <w14:schemeClr w14:val="tx1"/>
            </w14:solidFill>
          </w14:textFill>
        </w:rPr>
        <w:t>本</w:t>
      </w:r>
      <w:r>
        <w:rPr>
          <w:rFonts w:hAnsi="宋体"/>
          <w:color w:val="000000" w:themeColor="text1"/>
          <w:szCs w:val="21"/>
          <w14:textFill>
            <w14:solidFill>
              <w14:schemeClr w14:val="tx1"/>
            </w14:solidFill>
          </w14:textFill>
        </w:rPr>
        <w:t>测定结果应</w:t>
      </w:r>
      <w:r>
        <w:rPr>
          <w:rFonts w:hint="eastAsia" w:hAnsi="宋体"/>
          <w:color w:val="000000" w:themeColor="text1"/>
          <w:szCs w:val="21"/>
          <w14:textFill>
            <w14:solidFill>
              <w14:schemeClr w14:val="tx1"/>
            </w14:solidFill>
          </w14:textFill>
        </w:rPr>
        <w:t>满足</w:t>
      </w:r>
      <w:r>
        <w:rPr>
          <w:rFonts w:hAnsi="宋体"/>
          <w:color w:val="000000" w:themeColor="text1"/>
          <w:szCs w:val="21"/>
          <w14:textFill>
            <w14:solidFill>
              <w14:schemeClr w14:val="tx1"/>
            </w14:solidFill>
          </w14:textFill>
        </w:rPr>
        <w:t>每次测定值落在</w:t>
      </w:r>
      <w:r>
        <w:rPr>
          <w:rFonts w:hint="eastAsia" w:hAnsi="宋体"/>
          <w:color w:val="000000" w:themeColor="text1"/>
          <w:szCs w:val="21"/>
          <w14:textFill>
            <w14:solidFill>
              <w14:schemeClr w14:val="tx1"/>
            </w14:solidFill>
          </w14:textFill>
        </w:rPr>
        <w:t>相应目标分析物均值</w:t>
      </w:r>
      <w:r>
        <w:rPr>
          <w:rFonts w:hAnsi="宋体"/>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±2倍标准偏差内，且连续测定</w:t>
      </w:r>
      <w:r>
        <w:rPr>
          <w:rFonts w:hint="eastAsia" w:hAnsi="宋体"/>
          <w:szCs w:val="21"/>
        </w:rPr>
        <w:t>10</w:t>
      </w:r>
      <w:r>
        <w:rPr>
          <w:rFonts w:hint="eastAsia" w:hAnsi="宋体"/>
          <w:color w:val="000000" w:themeColor="text1"/>
          <w:szCs w:val="21"/>
          <w14:textFill>
            <w14:solidFill>
              <w14:schemeClr w14:val="tx1"/>
            </w14:solidFill>
          </w14:textFill>
        </w:rPr>
        <w:t>次的</w:t>
      </w:r>
      <w:r>
        <w:rPr>
          <w:rFonts w:hAnsi="宋体"/>
          <w:color w:val="000000" w:themeColor="text1"/>
          <w:szCs w:val="21"/>
          <w14:textFill>
            <w14:solidFill>
              <w14:schemeClr w14:val="tx1"/>
            </w14:solidFill>
          </w14:textFill>
        </w:rPr>
        <w:t>测定</w:t>
      </w:r>
      <w:r>
        <w:rPr>
          <w:rFonts w:hint="eastAsia" w:hAnsi="宋体"/>
          <w:color w:val="000000" w:themeColor="text1"/>
          <w:szCs w:val="21"/>
          <w14:textFill>
            <w14:solidFill>
              <w14:schemeClr w14:val="tx1"/>
            </w14:solidFill>
          </w14:textFill>
        </w:rPr>
        <w:t>结果</w:t>
      </w:r>
      <w:r>
        <w:rPr>
          <w:rFonts w:hAnsi="宋体"/>
          <w:color w:val="000000" w:themeColor="text1"/>
          <w:szCs w:val="21"/>
          <w14:textFill>
            <w14:solidFill>
              <w14:schemeClr w14:val="tx1"/>
            </w14:solidFill>
          </w14:textFill>
        </w:rPr>
        <w:t>不能</w:t>
      </w:r>
      <w:r>
        <w:rPr>
          <w:rFonts w:hint="eastAsia" w:hAnsi="宋体"/>
          <w:color w:val="000000" w:themeColor="text1"/>
          <w:szCs w:val="21"/>
          <w14:textFill>
            <w14:solidFill>
              <w14:schemeClr w14:val="tx1"/>
            </w14:solidFill>
          </w14:textFill>
        </w:rPr>
        <w:t>落在</w:t>
      </w:r>
      <w:r>
        <w:rPr>
          <w:rFonts w:hAnsi="宋体"/>
          <w:color w:val="000000" w:themeColor="text1"/>
          <w:szCs w:val="21"/>
          <w14:textFill>
            <w14:solidFill>
              <w14:schemeClr w14:val="tx1"/>
            </w14:solidFill>
          </w14:textFill>
        </w:rPr>
        <w:t>均值同侧</w:t>
      </w:r>
      <w:r>
        <w:rPr>
          <w:rFonts w:hint="eastAsia" w:hAnsi="宋体"/>
          <w:color w:val="000000" w:themeColor="text1"/>
          <w:szCs w:val="21"/>
          <w14:textFill>
            <w14:solidFill>
              <w14:schemeClr w14:val="tx1"/>
            </w14:solidFill>
          </w14:textFill>
        </w:rPr>
        <w:t>；加标回收率应满足检验方法要求。</w:t>
      </w:r>
    </w:p>
    <w:p w14:paraId="14E40BBA">
      <w:pPr>
        <w:pStyle w:val="165"/>
        <w:ind w:left="0"/>
        <w:rPr>
          <w:rFonts w:hAnsi="宋体"/>
          <w:szCs w:val="21"/>
        </w:rPr>
      </w:pPr>
      <w:r>
        <w:rPr>
          <w:rFonts w:hint="eastAsia" w:hAnsi="宋体"/>
          <w:szCs w:val="21"/>
        </w:rPr>
        <w:t>方法</w:t>
      </w:r>
      <w:r>
        <w:rPr>
          <w:rFonts w:hAnsi="宋体"/>
          <w:szCs w:val="21"/>
        </w:rPr>
        <w:t>空白应低于方法</w:t>
      </w:r>
      <w:r>
        <w:rPr>
          <w:rFonts w:hint="eastAsia" w:hAnsi="宋体"/>
          <w:szCs w:val="21"/>
        </w:rPr>
        <w:t>检出限。</w:t>
      </w:r>
      <w:r>
        <w:rPr>
          <w:rFonts w:hAnsi="宋体"/>
          <w:szCs w:val="21"/>
        </w:rPr>
        <w:t>若不能满足要求</w:t>
      </w:r>
      <w:r>
        <w:rPr>
          <w:rFonts w:hint="eastAsia" w:hAnsi="宋体"/>
          <w:szCs w:val="21"/>
        </w:rPr>
        <w:t>，</w:t>
      </w:r>
      <w:r>
        <w:rPr>
          <w:rFonts w:hAnsi="宋体"/>
          <w:szCs w:val="21"/>
        </w:rPr>
        <w:t>需</w:t>
      </w:r>
      <w:r>
        <w:rPr>
          <w:rFonts w:hint="eastAsia" w:hAnsi="宋体"/>
          <w:szCs w:val="21"/>
        </w:rPr>
        <w:t>确定方法</w:t>
      </w:r>
      <w:r>
        <w:rPr>
          <w:rFonts w:hAnsi="宋体"/>
          <w:szCs w:val="21"/>
        </w:rPr>
        <w:t>空白来源，评估</w:t>
      </w:r>
      <w:r>
        <w:rPr>
          <w:rFonts w:hint="eastAsia" w:hAnsi="宋体"/>
          <w:szCs w:val="21"/>
        </w:rPr>
        <w:t>方法</w:t>
      </w:r>
      <w:r>
        <w:rPr>
          <w:rFonts w:hAnsi="宋体"/>
          <w:szCs w:val="21"/>
        </w:rPr>
        <w:t>空白的稳定性。稳定性</w:t>
      </w:r>
      <w:r>
        <w:rPr>
          <w:rFonts w:hint="eastAsia" w:hAnsi="宋体"/>
          <w:szCs w:val="21"/>
        </w:rPr>
        <w:t>评估中</w:t>
      </w:r>
      <w:r>
        <w:rPr>
          <w:rFonts w:hAnsi="宋体"/>
          <w:szCs w:val="21"/>
        </w:rPr>
        <w:t>，</w:t>
      </w:r>
      <w:r>
        <w:rPr>
          <w:rFonts w:hint="eastAsia" w:hAnsi="宋体"/>
          <w:szCs w:val="21"/>
        </w:rPr>
        <w:t>需</w:t>
      </w:r>
      <w:r>
        <w:rPr>
          <w:rFonts w:hAnsi="宋体"/>
          <w:szCs w:val="21"/>
        </w:rPr>
        <w:t>进行不低于6批次的</w:t>
      </w:r>
      <w:r>
        <w:rPr>
          <w:rFonts w:hint="eastAsia" w:hAnsi="宋体"/>
          <w:szCs w:val="21"/>
        </w:rPr>
        <w:t>方法</w:t>
      </w:r>
      <w:r>
        <w:rPr>
          <w:rFonts w:hAnsi="宋体"/>
          <w:szCs w:val="21"/>
        </w:rPr>
        <w:t>空白</w:t>
      </w:r>
      <w:r>
        <w:rPr>
          <w:rFonts w:hint="eastAsia" w:hAnsi="宋体"/>
          <w:szCs w:val="21"/>
        </w:rPr>
        <w:t>试验</w:t>
      </w:r>
      <w:r>
        <w:rPr>
          <w:rFonts w:hAnsi="宋体"/>
          <w:szCs w:val="21"/>
        </w:rPr>
        <w:t>，</w:t>
      </w:r>
      <w:r>
        <w:rPr>
          <w:rFonts w:hint="eastAsia" w:hAnsi="宋体"/>
          <w:szCs w:val="21"/>
        </w:rPr>
        <w:t>根据方法空白中目标分析物的质谱</w:t>
      </w:r>
      <w:r>
        <w:rPr>
          <w:rFonts w:hAnsi="宋体"/>
          <w:szCs w:val="21"/>
        </w:rPr>
        <w:t>响应</w:t>
      </w:r>
      <w:r>
        <w:rPr>
          <w:rFonts w:hint="eastAsia" w:hAnsi="宋体"/>
          <w:szCs w:val="21"/>
        </w:rPr>
        <w:t>值，</w:t>
      </w:r>
      <w:r>
        <w:rPr>
          <w:rFonts w:hAnsi="宋体"/>
          <w:szCs w:val="21"/>
        </w:rPr>
        <w:t>计算相对标准偏差，若低于20%，表示</w:t>
      </w:r>
      <w:r>
        <w:rPr>
          <w:rFonts w:hint="eastAsia" w:hAnsi="宋体"/>
          <w:szCs w:val="21"/>
        </w:rPr>
        <w:t>方法</w:t>
      </w:r>
      <w:r>
        <w:rPr>
          <w:rFonts w:hAnsi="宋体"/>
          <w:szCs w:val="21"/>
        </w:rPr>
        <w:t>空白稳定</w:t>
      </w:r>
      <w:r>
        <w:rPr>
          <w:rFonts w:hint="eastAsia" w:hAnsi="宋体"/>
          <w:szCs w:val="21"/>
        </w:rPr>
        <w:t>，可根据空白样本和实际尿液样本中目标分析物的含量水平评估扣除空白的可能性</w:t>
      </w:r>
      <w:r>
        <w:rPr>
          <w:rFonts w:hAnsi="宋体"/>
          <w:szCs w:val="21"/>
        </w:rPr>
        <w:t>。</w:t>
      </w:r>
    </w:p>
    <w:p w14:paraId="0BA2A2D5">
      <w:pPr>
        <w:pStyle w:val="165"/>
        <w:ind w:left="0"/>
        <w:rPr>
          <w:rFonts w:hAnsi="宋体"/>
        </w:rPr>
      </w:pPr>
      <w:r>
        <w:rPr>
          <w:rFonts w:hAnsi="宋体"/>
          <w:szCs w:val="21"/>
        </w:rPr>
        <w:t>平行样测定</w:t>
      </w:r>
      <w:r>
        <w:rPr>
          <w:rFonts w:hint="eastAsia" w:hAnsi="宋体"/>
          <w:szCs w:val="21"/>
        </w:rPr>
        <w:t>结果</w:t>
      </w:r>
      <w:r>
        <w:rPr>
          <w:rFonts w:hAnsi="宋体"/>
          <w:szCs w:val="21"/>
        </w:rPr>
        <w:t>的</w:t>
      </w:r>
      <w:r>
        <w:rPr>
          <w:rFonts w:hint="eastAsia" w:hAnsi="宋体"/>
          <w:szCs w:val="21"/>
        </w:rPr>
        <w:t>相对</w:t>
      </w:r>
      <w:r>
        <w:rPr>
          <w:rFonts w:hAnsi="宋体"/>
          <w:szCs w:val="21"/>
        </w:rPr>
        <w:t>偏差</w:t>
      </w:r>
      <w:r>
        <w:rPr>
          <w:rFonts w:hint="eastAsia" w:hAnsi="宋体"/>
          <w:szCs w:val="21"/>
        </w:rPr>
        <w:t>应</w:t>
      </w:r>
      <w:r>
        <w:rPr>
          <w:rFonts w:hAnsi="宋体"/>
          <w:szCs w:val="21"/>
        </w:rPr>
        <w:t>小于20%。</w:t>
      </w:r>
    </w:p>
    <w:p w14:paraId="794D8B0F">
      <w:pPr>
        <w:pStyle w:val="165"/>
        <w:ind w:left="0"/>
        <w:rPr>
          <w:rFonts w:hAnsi="宋体"/>
          <w:color w:val="000000" w:themeColor="text1"/>
          <w14:textFill>
            <w14:solidFill>
              <w14:schemeClr w14:val="tx1"/>
            </w14:solidFill>
          </w14:textFill>
        </w:rPr>
      </w:pPr>
      <w:r>
        <w:rPr>
          <w:rFonts w:hint="eastAsia" w:hAnsi="宋体"/>
          <w:szCs w:val="21"/>
        </w:rPr>
        <w:t>每批试验</w:t>
      </w:r>
      <w:r>
        <w:rPr>
          <w:rFonts w:hAnsi="宋体"/>
          <w:szCs w:val="21"/>
        </w:rPr>
        <w:t>应重新配</w:t>
      </w:r>
      <w:r>
        <w:rPr>
          <w:rFonts w:hint="eastAsia" w:hAnsi="宋体"/>
          <w:szCs w:val="21"/>
        </w:rPr>
        <w:t>制校准</w:t>
      </w:r>
      <w:r>
        <w:rPr>
          <w:rFonts w:hAnsi="宋体"/>
          <w:szCs w:val="21"/>
        </w:rPr>
        <w:t>曲线，</w:t>
      </w:r>
      <w:r>
        <w:rPr>
          <w:rFonts w:hint="eastAsia" w:hAnsi="宋体"/>
          <w:szCs w:val="21"/>
        </w:rPr>
        <w:t>不得</w:t>
      </w:r>
      <w:r>
        <w:rPr>
          <w:rFonts w:hAnsi="宋体"/>
          <w:szCs w:val="21"/>
        </w:rPr>
        <w:t>采用单点校正等方法代替校准曲线。</w:t>
      </w:r>
      <w:r>
        <w:rPr>
          <w:rFonts w:hint="eastAsia" w:hAnsi="宋体"/>
          <w:szCs w:val="21"/>
        </w:rPr>
        <w:t>校准曲线</w:t>
      </w:r>
      <w:r>
        <w:rPr>
          <w:rFonts w:hAnsi="宋体"/>
          <w:color w:val="000000" w:themeColor="text1"/>
          <w:szCs w:val="21"/>
          <w14:textFill>
            <w14:solidFill>
              <w14:schemeClr w14:val="tx1"/>
            </w14:solidFill>
          </w14:textFill>
        </w:rPr>
        <w:t>应</w:t>
      </w:r>
      <w:r>
        <w:rPr>
          <w:rFonts w:hint="eastAsia" w:hAnsi="宋体"/>
          <w:color w:val="000000" w:themeColor="text1"/>
          <w:szCs w:val="21"/>
          <w14:textFill>
            <w14:solidFill>
              <w14:schemeClr w14:val="tx1"/>
            </w14:solidFill>
          </w14:textFill>
        </w:rPr>
        <w:t>包括</w:t>
      </w:r>
      <w:r>
        <w:rPr>
          <w:rFonts w:hAnsi="宋体"/>
          <w:color w:val="000000" w:themeColor="text1"/>
          <w:szCs w:val="21"/>
          <w14:textFill>
            <w14:solidFill>
              <w14:schemeClr w14:val="tx1"/>
            </w14:solidFill>
          </w14:textFill>
        </w:rPr>
        <w:t>不少于5个平均分布的标准浓度</w:t>
      </w:r>
      <w:r>
        <w:rPr>
          <w:rFonts w:hint="eastAsia" w:hAnsi="宋体"/>
          <w:color w:val="000000" w:themeColor="text1"/>
          <w:szCs w:val="21"/>
          <w14:textFill>
            <w14:solidFill>
              <w14:schemeClr w14:val="tx1"/>
            </w14:solidFill>
          </w14:textFill>
        </w:rPr>
        <w:t>点（不包含零点）。采用1/</w:t>
      </w:r>
      <w:r>
        <w:rPr>
          <w:rFonts w:ascii="Times New Roman"/>
          <w:color w:val="000000" w:themeColor="text1"/>
          <w:szCs w:val="21"/>
          <w14:textFill>
            <w14:solidFill>
              <w14:schemeClr w14:val="tx1"/>
            </w14:solidFill>
          </w14:textFill>
        </w:rPr>
        <w:t>x</w:t>
      </w:r>
      <w:r>
        <w:rPr>
          <w:rFonts w:hint="eastAsia" w:hAnsi="宋体"/>
          <w:color w:val="000000" w:themeColor="text1"/>
          <w:szCs w:val="21"/>
          <w14:textFill>
            <w14:solidFill>
              <w14:schemeClr w14:val="tx1"/>
            </w14:solidFill>
          </w14:textFill>
        </w:rPr>
        <w:t>权重拟合</w:t>
      </w:r>
      <w:r>
        <w:rPr>
          <w:rFonts w:hAnsi="宋体"/>
          <w:color w:val="000000" w:themeColor="text1"/>
          <w:szCs w:val="21"/>
          <w14:textFill>
            <w14:solidFill>
              <w14:schemeClr w14:val="tx1"/>
            </w14:solidFill>
          </w14:textFill>
        </w:rPr>
        <w:t>校准曲线，8</w:t>
      </w:r>
      <w:r>
        <w:rPr>
          <w:rFonts w:hint="eastAsia" w:hAnsi="宋体"/>
          <w:color w:val="000000" w:themeColor="text1"/>
          <w:szCs w:val="21"/>
          <w14:textFill>
            <w14:solidFill>
              <w14:schemeClr w14:val="tx1"/>
            </w14:solidFill>
          </w14:textFill>
        </w:rPr>
        <w:t>种</w:t>
      </w:r>
      <w:r>
        <w:rPr>
          <w:rFonts w:ascii="Times New Roman"/>
          <w:color w:val="000000" w:themeColor="text1"/>
          <w:szCs w:val="21"/>
          <w14:textFill>
            <w14:solidFill>
              <w14:schemeClr w14:val="tx1"/>
            </w14:solidFill>
          </w14:textFill>
        </w:rPr>
        <w:t>农药及</w:t>
      </w:r>
      <w:r>
        <w:rPr>
          <w:rFonts w:hAnsi="宋体"/>
          <w:color w:val="000000" w:themeColor="text1"/>
          <w:szCs w:val="21"/>
          <w14:textFill>
            <w14:solidFill>
              <w14:schemeClr w14:val="tx1"/>
            </w14:solidFill>
          </w14:textFill>
        </w:rPr>
        <w:t>代谢物</w:t>
      </w:r>
      <w:r>
        <w:rPr>
          <w:rFonts w:hint="eastAsia" w:hAnsi="宋体"/>
          <w:color w:val="000000" w:themeColor="text1"/>
          <w:szCs w:val="21"/>
          <w14:textFill>
            <w14:solidFill>
              <w14:schemeClr w14:val="tx1"/>
            </w14:solidFill>
          </w14:textFill>
        </w:rPr>
        <w:t>的相关系数＞0.995。用校准曲线反推各标准点浓度，标准曲线下限测定值应在其理论浓度值的±30%以内，其余各浓度点应在</w:t>
      </w:r>
      <w:r>
        <w:rPr>
          <w:rFonts w:ascii="Times New Roman"/>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20%以内。</w:t>
      </w:r>
    </w:p>
    <w:p w14:paraId="2EDCBBCE">
      <w:pPr>
        <w:pStyle w:val="107"/>
        <w:spacing w:before="240" w:after="240"/>
      </w:pPr>
      <w:bookmarkStart w:id="183" w:name="_Toc201916962"/>
      <w:bookmarkStart w:id="184" w:name="_Toc83893144"/>
      <w:bookmarkStart w:id="185" w:name="_Toc83893105"/>
      <w:r>
        <w:rPr>
          <w:rFonts w:hint="eastAsia"/>
        </w:rPr>
        <w:t>注意事项</w:t>
      </w:r>
      <w:bookmarkEnd w:id="183"/>
      <w:bookmarkEnd w:id="184"/>
      <w:bookmarkEnd w:id="185"/>
    </w:p>
    <w:p w14:paraId="7EE1046C">
      <w:pPr>
        <w:pStyle w:val="165"/>
        <w:ind w:left="0"/>
        <w:rPr>
          <w:rFonts w:hAnsi="宋体"/>
        </w:rPr>
      </w:pPr>
      <w:r>
        <w:rPr>
          <w:rFonts w:hint="eastAsia" w:hAnsi="宋体"/>
        </w:rPr>
        <w:t>反复冻融尿液样本会影响测定结果，尿液样本反复冻融超过3次后会影响测定结果。</w:t>
      </w:r>
    </w:p>
    <w:p w14:paraId="1E06EF0D">
      <w:pPr>
        <w:pStyle w:val="165"/>
        <w:ind w:left="0"/>
        <w:rPr>
          <w:rFonts w:hAnsi="宋体"/>
        </w:rPr>
      </w:pPr>
      <w:r>
        <w:rPr>
          <w:rFonts w:hint="eastAsia" w:hAnsi="宋体"/>
        </w:rPr>
        <w:t>乙酸钠溶液不宜</w:t>
      </w:r>
      <w:r>
        <w:rPr>
          <w:rFonts w:hAnsi="宋体"/>
        </w:rPr>
        <w:t>一次性配</w:t>
      </w:r>
      <w:r>
        <w:rPr>
          <w:rFonts w:hint="eastAsia" w:hAnsi="宋体"/>
        </w:rPr>
        <w:t>制</w:t>
      </w:r>
      <w:r>
        <w:rPr>
          <w:rFonts w:hAnsi="宋体"/>
        </w:rPr>
        <w:t>过多，</w:t>
      </w:r>
      <w:r>
        <w:rPr>
          <w:rFonts w:hint="eastAsia" w:hAnsi="宋体"/>
        </w:rPr>
        <w:t>建议根据实验需要现用现配</w:t>
      </w:r>
      <w:r>
        <w:rPr>
          <w:rFonts w:hAnsi="宋体"/>
        </w:rPr>
        <w:t>。</w:t>
      </w:r>
    </w:p>
    <w:p w14:paraId="0B0D7E39">
      <w:pPr>
        <w:pStyle w:val="165"/>
        <w:ind w:left="0"/>
        <w:rPr>
          <w:rFonts w:hAnsi="宋体"/>
        </w:rPr>
      </w:pPr>
      <w:r>
        <w:rPr>
          <w:rFonts w:hAnsi="宋体"/>
        </w:rPr>
        <w:t>流动相配</w:t>
      </w:r>
      <w:r>
        <w:rPr>
          <w:rFonts w:hint="eastAsia" w:hAnsi="宋体"/>
        </w:rPr>
        <w:t>制</w:t>
      </w:r>
      <w:r>
        <w:rPr>
          <w:rFonts w:hAnsi="宋体"/>
        </w:rPr>
        <w:t>过程中易出现</w:t>
      </w:r>
      <w:r>
        <w:rPr>
          <w:rFonts w:hint="eastAsia" w:hAnsi="宋体"/>
        </w:rPr>
        <w:t>P</w:t>
      </w:r>
      <w:r>
        <w:rPr>
          <w:rFonts w:hAnsi="宋体"/>
        </w:rPr>
        <w:t>NP，TCPY</w:t>
      </w:r>
      <w:r>
        <w:rPr>
          <w:rFonts w:hint="eastAsia" w:hAnsi="宋体"/>
        </w:rPr>
        <w:t>的</w:t>
      </w:r>
      <w:r>
        <w:rPr>
          <w:rFonts w:hAnsi="宋体"/>
        </w:rPr>
        <w:t>污染</w:t>
      </w:r>
      <w:r>
        <w:rPr>
          <w:rFonts w:hint="eastAsia" w:hAnsi="宋体"/>
        </w:rPr>
        <w:t>。如出现污染，可</w:t>
      </w:r>
      <w:r>
        <w:rPr>
          <w:rFonts w:hint="eastAsia" w:hAnsi="宋体"/>
          <w:szCs w:val="24"/>
        </w:rPr>
        <w:t>在进样器前端</w:t>
      </w:r>
      <w:r>
        <w:rPr>
          <w:rFonts w:hint="eastAsia" w:hAnsi="宋体"/>
        </w:rPr>
        <w:t>连接捕集</w:t>
      </w:r>
      <w:r>
        <w:rPr>
          <w:rFonts w:hAnsi="宋体"/>
        </w:rPr>
        <w:t>柱</w:t>
      </w:r>
      <w:r>
        <w:rPr>
          <w:rFonts w:hint="eastAsia" w:hAnsi="宋体"/>
        </w:rPr>
        <w:t>，</w:t>
      </w:r>
      <w:r>
        <w:rPr>
          <w:rFonts w:hAnsi="宋体"/>
        </w:rPr>
        <w:t>以降低干扰。</w:t>
      </w:r>
    </w:p>
    <w:p w14:paraId="1FB00289">
      <w:pPr>
        <w:pStyle w:val="165"/>
        <w:ind w:left="0"/>
        <w:rPr>
          <w:rFonts w:hAnsi="宋体"/>
          <w:szCs w:val="21"/>
        </w:rPr>
      </w:pPr>
      <w:r>
        <w:rPr>
          <w:rFonts w:hint="eastAsia" w:hAnsi="宋体"/>
        </w:rPr>
        <w:t>尿液样本经前处理过程所得到的样品溶液可能存在降解。如在完成样本前处理后不能立即测定，应将样品溶液保存于-20℃条件下，并在3日内完成测定。</w:t>
      </w:r>
    </w:p>
    <w:p w14:paraId="18990A1F">
      <w:pPr>
        <w:pStyle w:val="165"/>
        <w:ind w:left="0"/>
        <w:rPr>
          <w:rFonts w:hAnsi="宋体"/>
          <w:szCs w:val="21"/>
        </w:rPr>
      </w:pPr>
      <w:r>
        <w:rPr>
          <w:rFonts w:hint="eastAsia" w:hAnsi="宋体"/>
        </w:rPr>
        <w:t>每批进样列表周期不宜超过72h，且样品盘温度应设置在10℃以下。</w:t>
      </w:r>
    </w:p>
    <w:p w14:paraId="3E5E1397">
      <w:pPr>
        <w:pStyle w:val="165"/>
        <w:ind w:left="0"/>
        <w:rPr>
          <w:rFonts w:hAnsi="宋体"/>
          <w:szCs w:val="21"/>
        </w:rPr>
      </w:pPr>
      <w:r>
        <w:rPr>
          <w:rFonts w:hint="eastAsia" w:hAnsi="宋体"/>
          <w:szCs w:val="21"/>
        </w:rPr>
        <w:t>样品中目标分析物浓度</w:t>
      </w:r>
      <w:r>
        <w:rPr>
          <w:rFonts w:hAnsi="宋体"/>
          <w:szCs w:val="21"/>
        </w:rPr>
        <w:t>超</w:t>
      </w:r>
      <w:r>
        <w:rPr>
          <w:rFonts w:hint="eastAsia" w:hAnsi="宋体"/>
          <w:szCs w:val="21"/>
        </w:rPr>
        <w:t>过</w:t>
      </w:r>
      <w:r>
        <w:rPr>
          <w:rFonts w:hAnsi="宋体"/>
          <w:szCs w:val="21"/>
        </w:rPr>
        <w:t>线性范围时，需进行复测。复测时</w:t>
      </w:r>
      <w:r>
        <w:rPr>
          <w:rFonts w:hint="eastAsia" w:hAnsi="宋体"/>
          <w:szCs w:val="21"/>
        </w:rPr>
        <w:t>，应</w:t>
      </w:r>
      <w:r>
        <w:rPr>
          <w:rFonts w:hAnsi="宋体"/>
          <w:szCs w:val="21"/>
        </w:rPr>
        <w:t>采用减少取样体积或稀释待测</w:t>
      </w:r>
      <w:r>
        <w:rPr>
          <w:rFonts w:hint="eastAsia" w:hAnsi="宋体"/>
          <w:szCs w:val="21"/>
        </w:rPr>
        <w:t>尿液</w:t>
      </w:r>
      <w:r>
        <w:rPr>
          <w:rFonts w:hAnsi="宋体"/>
          <w:szCs w:val="21"/>
        </w:rPr>
        <w:t>样本</w:t>
      </w:r>
      <w:r>
        <w:rPr>
          <w:rFonts w:hint="eastAsia" w:hAnsi="宋体"/>
          <w:szCs w:val="21"/>
        </w:rPr>
        <w:t>的方式</w:t>
      </w:r>
      <w:r>
        <w:rPr>
          <w:rFonts w:hAnsi="宋体"/>
          <w:szCs w:val="21"/>
        </w:rPr>
        <w:t>，不得直接稀释</w:t>
      </w:r>
      <w:r>
        <w:rPr>
          <w:rFonts w:hint="eastAsia" w:hAnsi="宋体"/>
          <w:szCs w:val="21"/>
        </w:rPr>
        <w:t>经过</w:t>
      </w:r>
      <w:r>
        <w:rPr>
          <w:rFonts w:hAnsi="宋体"/>
          <w:szCs w:val="21"/>
        </w:rPr>
        <w:t>前处理的</w:t>
      </w:r>
      <w:r>
        <w:rPr>
          <w:rFonts w:hint="eastAsia" w:hAnsi="宋体"/>
          <w:szCs w:val="21"/>
        </w:rPr>
        <w:t>样品溶液</w:t>
      </w:r>
      <w:r>
        <w:rPr>
          <w:rFonts w:hAnsi="宋体"/>
          <w:szCs w:val="21"/>
        </w:rPr>
        <w:t>。</w:t>
      </w:r>
    </w:p>
    <w:p w14:paraId="3A226F2F">
      <w:pPr>
        <w:pStyle w:val="165"/>
        <w:ind w:left="0"/>
        <w:rPr>
          <w:rFonts w:hAnsi="宋体"/>
          <w:szCs w:val="21"/>
        </w:rPr>
      </w:pPr>
      <w:r>
        <w:rPr>
          <w:rFonts w:hint="eastAsia" w:hAnsi="宋体"/>
        </w:rPr>
        <w:t>连续对两个</w:t>
      </w:r>
      <w:r>
        <w:rPr>
          <w:rFonts w:hAnsi="宋体"/>
        </w:rPr>
        <w:t>样</w:t>
      </w:r>
      <w:r>
        <w:rPr>
          <w:rFonts w:hint="eastAsia" w:hAnsi="宋体"/>
        </w:rPr>
        <w:t>品进行测定时</w:t>
      </w:r>
      <w:r>
        <w:rPr>
          <w:rFonts w:hAnsi="宋体"/>
        </w:rPr>
        <w:t>，当</w:t>
      </w:r>
      <w:r>
        <w:rPr>
          <w:rFonts w:hint="eastAsia" w:hAnsi="宋体"/>
        </w:rPr>
        <w:t>第一个</w:t>
      </w:r>
      <w:r>
        <w:rPr>
          <w:rFonts w:hAnsi="宋体"/>
        </w:rPr>
        <w:t>样</w:t>
      </w:r>
      <w:r>
        <w:rPr>
          <w:rFonts w:hint="eastAsia" w:hAnsi="宋体"/>
        </w:rPr>
        <w:t>品</w:t>
      </w:r>
      <w:r>
        <w:rPr>
          <w:rFonts w:hAnsi="宋体"/>
        </w:rPr>
        <w:t>浓度超过第二个</w:t>
      </w:r>
      <w:r>
        <w:rPr>
          <w:rFonts w:hint="eastAsia" w:hAnsi="宋体"/>
        </w:rPr>
        <w:t>样品50倍</w:t>
      </w:r>
      <w:r>
        <w:rPr>
          <w:rFonts w:hint="eastAsia" w:hAnsi="宋体"/>
          <w:color w:val="000000" w:themeColor="text1"/>
          <w14:textFill>
            <w14:solidFill>
              <w14:schemeClr w14:val="tx1"/>
            </w14:solidFill>
          </w14:textFill>
        </w:rPr>
        <w:t>且第二个样品测定值高于定量限时</w:t>
      </w:r>
      <w:r>
        <w:rPr>
          <w:rFonts w:hAnsi="宋体"/>
          <w:color w:val="000000" w:themeColor="text1"/>
          <w14:textFill>
            <w14:solidFill>
              <w14:schemeClr w14:val="tx1"/>
            </w14:solidFill>
          </w14:textFill>
        </w:rPr>
        <w:t>，需对第二个样</w:t>
      </w:r>
      <w:r>
        <w:rPr>
          <w:rFonts w:hint="eastAsia" w:hAnsi="宋体"/>
          <w:color w:val="000000" w:themeColor="text1"/>
          <w14:textFill>
            <w14:solidFill>
              <w14:schemeClr w14:val="tx1"/>
            </w14:solidFill>
          </w14:textFill>
        </w:rPr>
        <w:t>品</w:t>
      </w:r>
      <w:r>
        <w:rPr>
          <w:rFonts w:hAnsi="宋体"/>
          <w:color w:val="000000" w:themeColor="text1"/>
          <w14:textFill>
            <w14:solidFill>
              <w14:schemeClr w14:val="tx1"/>
            </w14:solidFill>
          </w14:textFill>
        </w:rPr>
        <w:t>进行复测。</w:t>
      </w:r>
    </w:p>
    <w:p w14:paraId="5610240E">
      <w:pPr>
        <w:pStyle w:val="165"/>
        <w:ind w:left="0"/>
        <w:rPr>
          <w:rFonts w:hAnsi="宋体"/>
          <w:szCs w:val="21"/>
        </w:rPr>
      </w:pPr>
      <w:r>
        <w:rPr>
          <w:rFonts w:hint="eastAsia" w:hAnsi="宋体"/>
          <w:szCs w:val="21"/>
        </w:rPr>
        <w:t>样品中</w:t>
      </w:r>
      <w:r>
        <w:rPr>
          <w:rFonts w:hAnsi="宋体"/>
          <w:szCs w:val="21"/>
        </w:rPr>
        <w:t>内标</w:t>
      </w:r>
      <w:r>
        <w:rPr>
          <w:rFonts w:hint="eastAsia" w:hAnsi="宋体"/>
          <w:szCs w:val="21"/>
        </w:rPr>
        <w:t>未检出时</w:t>
      </w:r>
      <w:r>
        <w:rPr>
          <w:rFonts w:hAnsi="宋体"/>
          <w:szCs w:val="21"/>
        </w:rPr>
        <w:t>，</w:t>
      </w:r>
      <w:r>
        <w:rPr>
          <w:rFonts w:hint="eastAsia" w:hAnsi="宋体"/>
          <w:szCs w:val="21"/>
        </w:rPr>
        <w:t>需对</w:t>
      </w:r>
      <w:r>
        <w:rPr>
          <w:rFonts w:hAnsi="宋体"/>
          <w:szCs w:val="21"/>
        </w:rPr>
        <w:t>该样</w:t>
      </w:r>
      <w:r>
        <w:rPr>
          <w:rFonts w:hint="eastAsia" w:hAnsi="宋体"/>
          <w:szCs w:val="21"/>
        </w:rPr>
        <w:t>品进行</w:t>
      </w:r>
      <w:r>
        <w:rPr>
          <w:rFonts w:hAnsi="宋体"/>
          <w:szCs w:val="21"/>
        </w:rPr>
        <w:t>重复进样</w:t>
      </w:r>
      <w:r>
        <w:rPr>
          <w:rFonts w:hint="eastAsia" w:hAnsi="宋体"/>
          <w:szCs w:val="21"/>
        </w:rPr>
        <w:t>。当重复进样测定仍未检出</w:t>
      </w:r>
      <w:r>
        <w:rPr>
          <w:rFonts w:hAnsi="宋体"/>
          <w:szCs w:val="21"/>
        </w:rPr>
        <w:t>内标</w:t>
      </w:r>
      <w:r>
        <w:rPr>
          <w:rFonts w:hint="eastAsia" w:hAnsi="宋体"/>
          <w:szCs w:val="21"/>
        </w:rPr>
        <w:t>时，可判断该样品基质效应影响较大，</w:t>
      </w:r>
      <w:r>
        <w:rPr>
          <w:rFonts w:hAnsi="宋体"/>
          <w:szCs w:val="21"/>
        </w:rPr>
        <w:t>需进行复测。复测时</w:t>
      </w:r>
      <w:r>
        <w:rPr>
          <w:rFonts w:hint="eastAsia" w:hAnsi="宋体"/>
          <w:szCs w:val="21"/>
        </w:rPr>
        <w:t>，宜</w:t>
      </w:r>
      <w:r>
        <w:rPr>
          <w:rFonts w:hAnsi="宋体"/>
          <w:szCs w:val="21"/>
        </w:rPr>
        <w:t>稀释</w:t>
      </w:r>
      <w:r>
        <w:rPr>
          <w:rFonts w:hint="eastAsia" w:hAnsi="宋体"/>
          <w:szCs w:val="21"/>
        </w:rPr>
        <w:t>待测尿液样本以降低基质效应</w:t>
      </w:r>
      <w:r>
        <w:rPr>
          <w:rFonts w:hAnsi="宋体"/>
          <w:szCs w:val="21"/>
        </w:rPr>
        <w:t>。</w:t>
      </w:r>
    </w:p>
    <w:p w14:paraId="44441FF3">
      <w:pPr>
        <w:pStyle w:val="165"/>
        <w:numPr>
          <w:ilvl w:val="0"/>
          <w:numId w:val="0"/>
        </w:numPr>
        <w:rPr>
          <w:rFonts w:hAnsi="宋体"/>
          <w:szCs w:val="21"/>
        </w:rPr>
      </w:pPr>
    </w:p>
    <w:p w14:paraId="048A9894">
      <w:pPr>
        <w:pStyle w:val="165"/>
        <w:numPr>
          <w:ilvl w:val="0"/>
          <w:numId w:val="0"/>
        </w:numPr>
        <w:rPr>
          <w:rFonts w:hAnsi="宋体"/>
          <w:szCs w:val="21"/>
        </w:rPr>
        <w:sectPr>
          <w:pgSz w:w="11906" w:h="16838"/>
          <w:pgMar w:top="567" w:right="1134" w:bottom="1134" w:left="1134" w:header="1418" w:footer="1134" w:gutter="284"/>
          <w:pgNumType w:start="1"/>
          <w:cols w:space="425" w:num="1"/>
          <w:formProt w:val="0"/>
          <w:docGrid w:linePitch="312" w:charSpace="0"/>
        </w:sectPr>
      </w:pPr>
    </w:p>
    <w:bookmarkEnd w:id="34"/>
    <w:p w14:paraId="540C1D70">
      <w:pPr>
        <w:pStyle w:val="201"/>
      </w:pPr>
      <w:bookmarkStart w:id="186" w:name="BookMark5"/>
    </w:p>
    <w:p w14:paraId="6FD229F3">
      <w:pPr>
        <w:pStyle w:val="202"/>
      </w:pPr>
    </w:p>
    <w:p w14:paraId="6CA04E6E">
      <w:pPr>
        <w:pStyle w:val="79"/>
        <w:spacing w:before="60" w:after="120"/>
      </w:pPr>
      <w:r>
        <w:br w:type="textWrapping"/>
      </w:r>
      <w:bookmarkStart w:id="187" w:name="_Toc70341323"/>
      <w:bookmarkStart w:id="188" w:name="_Toc201916963"/>
      <w:bookmarkStart w:id="189" w:name="_Toc76128047"/>
      <w:bookmarkStart w:id="190" w:name="_Toc76128076"/>
      <w:bookmarkStart w:id="191" w:name="_Toc83893145"/>
      <w:bookmarkStart w:id="192" w:name="_Toc83893106"/>
      <w:r>
        <w:rPr>
          <w:rFonts w:hint="eastAsia"/>
        </w:rPr>
        <w:t>（资料性）</w:t>
      </w:r>
      <w:r>
        <w:br w:type="textWrapping"/>
      </w:r>
      <w:r>
        <w:t>8</w:t>
      </w:r>
      <w:r>
        <w:rPr>
          <w:rFonts w:hint="eastAsia"/>
        </w:rPr>
        <w:t>种农药及代谢物的基本信息</w:t>
      </w:r>
      <w:bookmarkEnd w:id="187"/>
      <w:bookmarkEnd w:id="188"/>
      <w:bookmarkEnd w:id="189"/>
      <w:bookmarkEnd w:id="190"/>
      <w:bookmarkEnd w:id="191"/>
      <w:bookmarkEnd w:id="192"/>
    </w:p>
    <w:p w14:paraId="5CEDB53D">
      <w:pPr>
        <w:pStyle w:val="80"/>
        <w:spacing w:before="120" w:after="120"/>
      </w:pPr>
      <w:r>
        <w:rPr>
          <w:rFonts w:hint="eastAsia"/>
        </w:rPr>
        <w:t>中文名称、英文名称、C</w:t>
      </w:r>
      <w:r>
        <w:t>AS</w:t>
      </w:r>
      <w:r>
        <w:rPr>
          <w:rFonts w:hint="eastAsia"/>
        </w:rPr>
        <w:t>号、相对分子质量和结构式</w:t>
      </w: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30"/>
        <w:gridCol w:w="1748"/>
        <w:gridCol w:w="2109"/>
        <w:gridCol w:w="909"/>
        <w:gridCol w:w="1195"/>
        <w:gridCol w:w="1006"/>
        <w:gridCol w:w="1877"/>
      </w:tblGrid>
      <w:tr w14:paraId="2CCFD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30" w:type="dxa"/>
            <w:tcBorders>
              <w:top w:val="single" w:color="auto" w:sz="8" w:space="0"/>
              <w:bottom w:val="single" w:color="auto" w:sz="8" w:space="0"/>
            </w:tcBorders>
            <w:shd w:val="clear" w:color="auto" w:fill="auto"/>
            <w:vAlign w:val="center"/>
          </w:tcPr>
          <w:p w14:paraId="264ED8ED">
            <w:pPr>
              <w:pStyle w:val="181"/>
              <w:adjustRightInd w:val="0"/>
              <w:snapToGrid w:val="0"/>
              <w:rPr>
                <w:rFonts w:hAnsi="宋体"/>
              </w:rPr>
            </w:pPr>
            <w:r>
              <w:rPr>
                <w:rFonts w:hint="eastAsia" w:hAnsi="宋体"/>
              </w:rPr>
              <w:t>序号</w:t>
            </w:r>
          </w:p>
        </w:tc>
        <w:tc>
          <w:tcPr>
            <w:tcW w:w="1748" w:type="dxa"/>
            <w:tcBorders>
              <w:top w:val="single" w:color="auto" w:sz="8" w:space="0"/>
              <w:bottom w:val="single" w:color="auto" w:sz="8" w:space="0"/>
            </w:tcBorders>
            <w:shd w:val="clear" w:color="auto" w:fill="auto"/>
            <w:vAlign w:val="center"/>
          </w:tcPr>
          <w:p w14:paraId="39E4C7ED">
            <w:pPr>
              <w:pStyle w:val="181"/>
              <w:adjustRightInd w:val="0"/>
              <w:snapToGrid w:val="0"/>
              <w:rPr>
                <w:rFonts w:hAnsi="宋体"/>
              </w:rPr>
            </w:pPr>
            <w:r>
              <w:rPr>
                <w:rFonts w:hint="eastAsia" w:hAnsi="宋体"/>
              </w:rPr>
              <w:t>中文名称</w:t>
            </w:r>
          </w:p>
        </w:tc>
        <w:tc>
          <w:tcPr>
            <w:tcW w:w="2109" w:type="dxa"/>
            <w:tcBorders>
              <w:top w:val="single" w:color="auto" w:sz="8" w:space="0"/>
              <w:bottom w:val="single" w:color="auto" w:sz="8" w:space="0"/>
            </w:tcBorders>
            <w:shd w:val="clear" w:color="auto" w:fill="auto"/>
            <w:vAlign w:val="center"/>
          </w:tcPr>
          <w:p w14:paraId="18D6A20C">
            <w:pPr>
              <w:pStyle w:val="181"/>
              <w:adjustRightInd w:val="0"/>
              <w:snapToGrid w:val="0"/>
              <w:rPr>
                <w:rFonts w:hAnsi="宋体"/>
              </w:rPr>
            </w:pPr>
            <w:r>
              <w:rPr>
                <w:rFonts w:hint="eastAsia" w:hAnsi="宋体"/>
              </w:rPr>
              <w:t>英文名称</w:t>
            </w:r>
          </w:p>
        </w:tc>
        <w:tc>
          <w:tcPr>
            <w:tcW w:w="909" w:type="dxa"/>
            <w:tcBorders>
              <w:top w:val="single" w:color="auto" w:sz="8" w:space="0"/>
              <w:bottom w:val="single" w:color="auto" w:sz="8" w:space="0"/>
            </w:tcBorders>
            <w:vAlign w:val="center"/>
          </w:tcPr>
          <w:p w14:paraId="7D135CC1">
            <w:pPr>
              <w:pStyle w:val="181"/>
              <w:adjustRightInd w:val="0"/>
              <w:snapToGrid w:val="0"/>
              <w:rPr>
                <w:rFonts w:hAnsi="宋体"/>
              </w:rPr>
            </w:pPr>
            <w:r>
              <w:rPr>
                <w:rFonts w:hint="eastAsia" w:hAnsi="宋体"/>
              </w:rPr>
              <w:t>缩写</w:t>
            </w:r>
          </w:p>
        </w:tc>
        <w:tc>
          <w:tcPr>
            <w:tcW w:w="1195" w:type="dxa"/>
            <w:tcBorders>
              <w:top w:val="single" w:color="auto" w:sz="8" w:space="0"/>
              <w:bottom w:val="single" w:color="auto" w:sz="8" w:space="0"/>
            </w:tcBorders>
            <w:shd w:val="clear" w:color="auto" w:fill="auto"/>
            <w:vAlign w:val="center"/>
          </w:tcPr>
          <w:p w14:paraId="6ADA535E">
            <w:pPr>
              <w:pStyle w:val="181"/>
              <w:adjustRightInd w:val="0"/>
              <w:snapToGrid w:val="0"/>
              <w:rPr>
                <w:rFonts w:hAnsi="宋体"/>
              </w:rPr>
            </w:pPr>
            <w:r>
              <w:rPr>
                <w:rFonts w:hint="eastAsia" w:hAnsi="宋体"/>
              </w:rPr>
              <w:t>C</w:t>
            </w:r>
            <w:r>
              <w:rPr>
                <w:rFonts w:hAnsi="宋体"/>
              </w:rPr>
              <w:t>AS</w:t>
            </w:r>
            <w:r>
              <w:rPr>
                <w:rFonts w:hint="eastAsia" w:hAnsi="宋体"/>
              </w:rPr>
              <w:t>号</w:t>
            </w:r>
          </w:p>
        </w:tc>
        <w:tc>
          <w:tcPr>
            <w:tcW w:w="1006" w:type="dxa"/>
            <w:tcBorders>
              <w:top w:val="single" w:color="auto" w:sz="8" w:space="0"/>
              <w:bottom w:val="single" w:color="auto" w:sz="8" w:space="0"/>
            </w:tcBorders>
            <w:shd w:val="clear" w:color="auto" w:fill="auto"/>
            <w:vAlign w:val="center"/>
          </w:tcPr>
          <w:p w14:paraId="54BD35B5">
            <w:pPr>
              <w:pStyle w:val="181"/>
              <w:adjustRightInd w:val="0"/>
              <w:snapToGrid w:val="0"/>
              <w:rPr>
                <w:rFonts w:hAnsi="宋体"/>
              </w:rPr>
            </w:pPr>
            <w:r>
              <w:rPr>
                <w:rFonts w:hint="eastAsia" w:hAnsi="宋体"/>
              </w:rPr>
              <w:t>相对分子质量</w:t>
            </w:r>
          </w:p>
        </w:tc>
        <w:tc>
          <w:tcPr>
            <w:tcW w:w="1877" w:type="dxa"/>
            <w:tcBorders>
              <w:top w:val="single" w:color="auto" w:sz="8" w:space="0"/>
              <w:bottom w:val="single" w:color="auto" w:sz="8" w:space="0"/>
            </w:tcBorders>
            <w:shd w:val="clear" w:color="auto" w:fill="auto"/>
            <w:vAlign w:val="center"/>
          </w:tcPr>
          <w:p w14:paraId="79C244A1">
            <w:pPr>
              <w:pStyle w:val="181"/>
              <w:adjustRightInd w:val="0"/>
              <w:snapToGrid w:val="0"/>
              <w:rPr>
                <w:rFonts w:hAnsi="宋体"/>
              </w:rPr>
            </w:pPr>
            <w:r>
              <w:rPr>
                <w:rFonts w:hint="eastAsia" w:hAnsi="宋体"/>
              </w:rPr>
              <w:t>结构式</w:t>
            </w:r>
          </w:p>
        </w:tc>
      </w:tr>
      <w:tr w14:paraId="08543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0" w:type="dxa"/>
            <w:tcBorders>
              <w:top w:val="single" w:color="auto" w:sz="8" w:space="0"/>
            </w:tcBorders>
            <w:shd w:val="clear" w:color="auto" w:fill="auto"/>
            <w:vAlign w:val="center"/>
          </w:tcPr>
          <w:p w14:paraId="3CDA3391">
            <w:pPr>
              <w:pStyle w:val="181"/>
              <w:adjustRightInd w:val="0"/>
              <w:snapToGrid w:val="0"/>
              <w:rPr>
                <w:rFonts w:hAnsi="宋体"/>
              </w:rPr>
            </w:pPr>
            <w:r>
              <w:rPr>
                <w:rFonts w:hAnsi="宋体"/>
              </w:rPr>
              <w:t>1</w:t>
            </w:r>
          </w:p>
        </w:tc>
        <w:tc>
          <w:tcPr>
            <w:tcW w:w="1748" w:type="dxa"/>
            <w:tcBorders>
              <w:top w:val="single" w:color="auto" w:sz="8" w:space="0"/>
            </w:tcBorders>
            <w:shd w:val="clear" w:color="auto" w:fill="auto"/>
            <w:vAlign w:val="center"/>
          </w:tcPr>
          <w:p w14:paraId="19F91BBE">
            <w:pPr>
              <w:snapToGrid w:val="0"/>
              <w:spacing w:line="240" w:lineRule="auto"/>
              <w:jc w:val="center"/>
              <w:rPr>
                <w:rFonts w:ascii="宋体" w:hAnsi="宋体"/>
                <w:sz w:val="18"/>
                <w:szCs w:val="18"/>
              </w:rPr>
            </w:pPr>
            <w:r>
              <w:rPr>
                <w:rFonts w:ascii="宋体" w:hAnsi="宋体"/>
                <w:sz w:val="18"/>
                <w:szCs w:val="18"/>
              </w:rPr>
              <w:t>对硝基苯酚</w:t>
            </w:r>
          </w:p>
        </w:tc>
        <w:tc>
          <w:tcPr>
            <w:tcW w:w="2109" w:type="dxa"/>
            <w:tcBorders>
              <w:top w:val="single" w:color="auto" w:sz="8" w:space="0"/>
            </w:tcBorders>
            <w:shd w:val="clear" w:color="auto" w:fill="auto"/>
            <w:vAlign w:val="center"/>
          </w:tcPr>
          <w:p w14:paraId="04AA083E">
            <w:pPr>
              <w:snapToGrid w:val="0"/>
              <w:spacing w:line="240" w:lineRule="auto"/>
              <w:jc w:val="center"/>
              <w:rPr>
                <w:rFonts w:ascii="Times New Roman" w:hAnsi="Times New Roman"/>
                <w:sz w:val="18"/>
                <w:szCs w:val="18"/>
              </w:rPr>
            </w:pPr>
            <w:r>
              <w:rPr>
                <w:rFonts w:ascii="Times New Roman" w:hAnsi="Times New Roman"/>
                <w:sz w:val="18"/>
                <w:szCs w:val="18"/>
              </w:rPr>
              <w:t>Para-Nitrophenol</w:t>
            </w:r>
          </w:p>
        </w:tc>
        <w:tc>
          <w:tcPr>
            <w:tcW w:w="909" w:type="dxa"/>
            <w:tcBorders>
              <w:top w:val="single" w:color="auto" w:sz="8" w:space="0"/>
            </w:tcBorders>
            <w:vAlign w:val="center"/>
          </w:tcPr>
          <w:p w14:paraId="0A0AD931">
            <w:pPr>
              <w:snapToGrid w:val="0"/>
              <w:spacing w:line="240" w:lineRule="auto"/>
              <w:jc w:val="center"/>
              <w:rPr>
                <w:rFonts w:ascii="Times New Roman" w:hAnsi="Times New Roman"/>
                <w:sz w:val="18"/>
                <w:szCs w:val="18"/>
              </w:rPr>
            </w:pPr>
            <w:r>
              <w:rPr>
                <w:rFonts w:ascii="Times New Roman" w:hAnsi="Times New Roman"/>
              </w:rPr>
              <w:t>PNP</w:t>
            </w:r>
          </w:p>
        </w:tc>
        <w:tc>
          <w:tcPr>
            <w:tcW w:w="1195" w:type="dxa"/>
            <w:tcBorders>
              <w:top w:val="single" w:color="auto" w:sz="8" w:space="0"/>
            </w:tcBorders>
            <w:shd w:val="clear" w:color="auto" w:fill="auto"/>
            <w:vAlign w:val="center"/>
          </w:tcPr>
          <w:p w14:paraId="5D3AD5C9">
            <w:pPr>
              <w:snapToGrid w:val="0"/>
              <w:spacing w:line="240" w:lineRule="auto"/>
              <w:jc w:val="center"/>
              <w:rPr>
                <w:rFonts w:ascii="宋体" w:hAnsi="宋体"/>
                <w:sz w:val="18"/>
                <w:szCs w:val="18"/>
              </w:rPr>
            </w:pPr>
            <w:r>
              <w:rPr>
                <w:rFonts w:ascii="宋体" w:hAnsi="宋体"/>
                <w:sz w:val="18"/>
                <w:szCs w:val="18"/>
              </w:rPr>
              <w:t>100-02-7</w:t>
            </w:r>
          </w:p>
        </w:tc>
        <w:tc>
          <w:tcPr>
            <w:tcW w:w="1006" w:type="dxa"/>
            <w:tcBorders>
              <w:top w:val="single" w:color="auto" w:sz="8" w:space="0"/>
            </w:tcBorders>
            <w:shd w:val="clear" w:color="auto" w:fill="auto"/>
            <w:vAlign w:val="center"/>
          </w:tcPr>
          <w:p w14:paraId="35286792">
            <w:pPr>
              <w:snapToGrid w:val="0"/>
              <w:spacing w:line="240" w:lineRule="auto"/>
              <w:jc w:val="center"/>
              <w:rPr>
                <w:rFonts w:ascii="Times New Roman" w:hAnsi="Times New Roman"/>
                <w:sz w:val="18"/>
                <w:szCs w:val="18"/>
              </w:rPr>
            </w:pPr>
            <w:r>
              <w:rPr>
                <w:rFonts w:ascii="Times New Roman" w:hAnsi="Times New Roman"/>
                <w:sz w:val="18"/>
                <w:szCs w:val="18"/>
              </w:rPr>
              <w:t>139.11</w:t>
            </w:r>
          </w:p>
        </w:tc>
        <w:tc>
          <w:tcPr>
            <w:tcW w:w="1877" w:type="dxa"/>
            <w:tcBorders>
              <w:top w:val="single" w:color="auto" w:sz="8" w:space="0"/>
            </w:tcBorders>
            <w:shd w:val="clear" w:color="auto" w:fill="auto"/>
            <w:vAlign w:val="center"/>
          </w:tcPr>
          <w:p w14:paraId="6A1A26ED">
            <w:pPr>
              <w:pStyle w:val="181"/>
              <w:adjustRightInd w:val="0"/>
              <w:snapToGrid w:val="0"/>
              <w:rPr>
                <w:rFonts w:hAnsi="宋体"/>
              </w:rPr>
            </w:pPr>
            <w:r>
              <w:fldChar w:fldCharType="begin"/>
            </w:r>
            <w:r>
              <w:instrText xml:space="preserve"> INCLUDEPICTURE "https://shop.isotope.com/SupplyImages/WF00006/ULM-8892.jpg" \* MERGEFORMATINET </w:instrText>
            </w:r>
            <w:r>
              <w:fldChar w:fldCharType="separate"/>
            </w:r>
            <w:r>
              <w:fldChar w:fldCharType="begin"/>
            </w:r>
            <w:r>
              <w:instrText xml:space="preserve"> INCLUDEPICTURE  "https://shop.isotope.com/SupplyImages/WF00006/ULM-8892.jpg" \* MERGEFORMATINET </w:instrText>
            </w:r>
            <w:r>
              <w:fldChar w:fldCharType="separate"/>
            </w:r>
            <w:r>
              <w:fldChar w:fldCharType="begin"/>
            </w:r>
            <w:r>
              <w:instrText xml:space="preserve"> INCLUDEPICTURE  "https://shop.isotope.com/SupplyImages/WF00006/ULM-8892.jpg" \* MERGEFORMATINET </w:instrText>
            </w:r>
            <w:r>
              <w:fldChar w:fldCharType="separate"/>
            </w:r>
            <w:r>
              <w:fldChar w:fldCharType="begin"/>
            </w:r>
            <w:r>
              <w:instrText xml:space="preserve"> INCLUDEPICTURE  "https://shop.isotope.com/SupplyImages/WF00006/ULM-8892.jpg" \* MERGEFORMATINET </w:instrText>
            </w:r>
            <w:r>
              <w:fldChar w:fldCharType="separate"/>
            </w:r>
            <w:r>
              <w:fldChar w:fldCharType="begin"/>
            </w:r>
            <w:r>
              <w:instrText xml:space="preserve"> INCLUDEPICTURE  "https://shop.isotope.com/SupplyImages/WF00006/ULM-8892.jpg" \* MERGEFORMATINET </w:instrText>
            </w:r>
            <w:r>
              <w:fldChar w:fldCharType="separate"/>
            </w:r>
            <w:r>
              <w:fldChar w:fldCharType="begin"/>
            </w:r>
            <w:r>
              <w:instrText xml:space="preserve"> INCLUDEPICTURE  "https://shop.isotope.com/SupplyImages/WF00006/ULM-8892.jpg" \* MERGEFORMATINET </w:instrText>
            </w:r>
            <w:r>
              <w:fldChar w:fldCharType="separate"/>
            </w:r>
            <w:r>
              <w:fldChar w:fldCharType="begin"/>
            </w:r>
            <w:r>
              <w:instrText xml:space="preserve"> INCLUDEPICTURE  "https://shop.isotope.com/SupplyImages/WF00006/ULM-8892.jpg" \* MERGEFORMATINET </w:instrText>
            </w:r>
            <w:r>
              <w:fldChar w:fldCharType="separate"/>
            </w:r>
            <w:r>
              <w:pict>
                <v:shape id="_x0000_i1025" o:spt="75" type="#_x0000_t75" style="height:38pt;width:67.95pt;" filled="f" o:preferrelative="t" stroked="f" coordsize="21600,21600">
                  <v:path/>
                  <v:fill on="f" focussize="0,0"/>
                  <v:stroke on="f" joinstyle="miter"/>
                  <v:imagedata r:id="rId15" r:href="rId16" cropleft="5667f" croptop="11775f" cropright="5277f" cropbottom="12880f"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p>
        </w:tc>
      </w:tr>
      <w:tr w14:paraId="1BD65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0" w:type="dxa"/>
            <w:shd w:val="clear" w:color="auto" w:fill="auto"/>
            <w:vAlign w:val="center"/>
          </w:tcPr>
          <w:p w14:paraId="220C3201">
            <w:pPr>
              <w:pStyle w:val="181"/>
              <w:adjustRightInd w:val="0"/>
              <w:snapToGrid w:val="0"/>
              <w:rPr>
                <w:rFonts w:hAnsi="宋体"/>
              </w:rPr>
            </w:pPr>
            <w:r>
              <w:rPr>
                <w:rFonts w:hAnsi="宋体"/>
              </w:rPr>
              <w:t>2</w:t>
            </w:r>
          </w:p>
        </w:tc>
        <w:tc>
          <w:tcPr>
            <w:tcW w:w="1748" w:type="dxa"/>
            <w:shd w:val="clear" w:color="auto" w:fill="auto"/>
            <w:vAlign w:val="center"/>
          </w:tcPr>
          <w:p w14:paraId="48E723D5">
            <w:pPr>
              <w:snapToGrid w:val="0"/>
              <w:spacing w:line="240" w:lineRule="auto"/>
              <w:jc w:val="center"/>
              <w:rPr>
                <w:rFonts w:ascii="宋体" w:hAnsi="宋体"/>
                <w:sz w:val="18"/>
                <w:szCs w:val="18"/>
              </w:rPr>
            </w:pPr>
            <w:r>
              <w:rPr>
                <w:rFonts w:ascii="宋体" w:hAnsi="宋体"/>
                <w:sz w:val="18"/>
                <w:szCs w:val="18"/>
              </w:rPr>
              <w:t>3,5,6-三氯-2-吡啶酚</w:t>
            </w:r>
          </w:p>
        </w:tc>
        <w:tc>
          <w:tcPr>
            <w:tcW w:w="2109" w:type="dxa"/>
            <w:shd w:val="clear" w:color="auto" w:fill="auto"/>
            <w:vAlign w:val="center"/>
          </w:tcPr>
          <w:p w14:paraId="6656898E">
            <w:pPr>
              <w:snapToGrid w:val="0"/>
              <w:spacing w:line="240" w:lineRule="auto"/>
              <w:jc w:val="center"/>
              <w:rPr>
                <w:rFonts w:ascii="Times New Roman" w:hAnsi="Times New Roman"/>
                <w:sz w:val="18"/>
                <w:szCs w:val="18"/>
              </w:rPr>
            </w:pPr>
            <w:r>
              <w:rPr>
                <w:rFonts w:ascii="Times New Roman" w:hAnsi="Times New Roman"/>
                <w:sz w:val="18"/>
                <w:szCs w:val="18"/>
              </w:rPr>
              <w:t>3,5,6-Trichloro-2-pyridinol</w:t>
            </w:r>
          </w:p>
        </w:tc>
        <w:tc>
          <w:tcPr>
            <w:tcW w:w="909" w:type="dxa"/>
            <w:vAlign w:val="center"/>
          </w:tcPr>
          <w:p w14:paraId="20E7EAFF">
            <w:pPr>
              <w:snapToGrid w:val="0"/>
              <w:spacing w:line="240" w:lineRule="auto"/>
              <w:jc w:val="center"/>
              <w:rPr>
                <w:rFonts w:ascii="Times New Roman" w:hAnsi="Times New Roman"/>
                <w:sz w:val="18"/>
                <w:szCs w:val="18"/>
              </w:rPr>
            </w:pPr>
            <w:r>
              <w:rPr>
                <w:rFonts w:ascii="Times New Roman" w:hAnsi="Times New Roman"/>
              </w:rPr>
              <w:t>TCPY</w:t>
            </w:r>
          </w:p>
        </w:tc>
        <w:tc>
          <w:tcPr>
            <w:tcW w:w="1195" w:type="dxa"/>
            <w:shd w:val="clear" w:color="auto" w:fill="auto"/>
            <w:vAlign w:val="center"/>
          </w:tcPr>
          <w:p w14:paraId="7C2F0D61">
            <w:pPr>
              <w:snapToGrid w:val="0"/>
              <w:spacing w:line="240" w:lineRule="auto"/>
              <w:jc w:val="center"/>
              <w:rPr>
                <w:rFonts w:ascii="宋体" w:hAnsi="宋体"/>
                <w:sz w:val="18"/>
                <w:szCs w:val="18"/>
              </w:rPr>
            </w:pPr>
            <w:r>
              <w:rPr>
                <w:rFonts w:ascii="宋体" w:hAnsi="宋体"/>
                <w:sz w:val="18"/>
                <w:szCs w:val="18"/>
              </w:rPr>
              <w:t>6515-38-4</w:t>
            </w:r>
          </w:p>
        </w:tc>
        <w:tc>
          <w:tcPr>
            <w:tcW w:w="1006" w:type="dxa"/>
            <w:shd w:val="clear" w:color="auto" w:fill="auto"/>
            <w:vAlign w:val="center"/>
          </w:tcPr>
          <w:p w14:paraId="34212CCA">
            <w:pPr>
              <w:snapToGrid w:val="0"/>
              <w:spacing w:line="240" w:lineRule="auto"/>
              <w:jc w:val="center"/>
              <w:rPr>
                <w:rFonts w:ascii="Times New Roman" w:hAnsi="Times New Roman"/>
                <w:sz w:val="18"/>
                <w:szCs w:val="18"/>
              </w:rPr>
            </w:pPr>
            <w:r>
              <w:rPr>
                <w:rFonts w:ascii="Times New Roman" w:hAnsi="Times New Roman"/>
                <w:sz w:val="18"/>
                <w:szCs w:val="18"/>
              </w:rPr>
              <w:t>198.43</w:t>
            </w:r>
          </w:p>
        </w:tc>
        <w:tc>
          <w:tcPr>
            <w:tcW w:w="1877" w:type="dxa"/>
            <w:shd w:val="clear" w:color="auto" w:fill="auto"/>
            <w:vAlign w:val="center"/>
          </w:tcPr>
          <w:p w14:paraId="77C0003F">
            <w:pPr>
              <w:pStyle w:val="181"/>
              <w:adjustRightInd w:val="0"/>
              <w:snapToGrid w:val="0"/>
              <w:rPr>
                <w:rFonts w:hAnsi="宋体"/>
              </w:rPr>
            </w:pPr>
            <w:r>
              <w:fldChar w:fldCharType="begin"/>
            </w:r>
            <w:r>
              <w:instrText xml:space="preserve"> INCLUDEPICTURE "https://shop.isotope.com/SupplyImages/WF00022/ULM-9204.jpg" \* MERGEFORMATINET </w:instrText>
            </w:r>
            <w:r>
              <w:fldChar w:fldCharType="separate"/>
            </w:r>
            <w:r>
              <w:fldChar w:fldCharType="begin"/>
            </w:r>
            <w:r>
              <w:instrText xml:space="preserve"> INCLUDEPICTURE  "https://shop.isotope.com/SupplyImages/WF00022/ULM-9204.jpg" \* MERGEFORMATINET </w:instrText>
            </w:r>
            <w:r>
              <w:fldChar w:fldCharType="separate"/>
            </w:r>
            <w:r>
              <w:fldChar w:fldCharType="begin"/>
            </w:r>
            <w:r>
              <w:instrText xml:space="preserve"> INCLUDEPICTURE  "https://shop.isotope.com/SupplyImages/WF00022/ULM-9204.jpg" \* MERGEFORMATINET </w:instrText>
            </w:r>
            <w:r>
              <w:fldChar w:fldCharType="separate"/>
            </w:r>
            <w:r>
              <w:fldChar w:fldCharType="begin"/>
            </w:r>
            <w:r>
              <w:instrText xml:space="preserve"> INCLUDEPICTURE  "https://shop.isotope.com/SupplyImages/WF00022/ULM-9204.jpg" \* MERGEFORMATINET </w:instrText>
            </w:r>
            <w:r>
              <w:fldChar w:fldCharType="separate"/>
            </w:r>
            <w:r>
              <w:fldChar w:fldCharType="begin"/>
            </w:r>
            <w:r>
              <w:instrText xml:space="preserve"> INCLUDEPICTURE  "https://shop.isotope.com/SupplyImages/WF00022/ULM-9204.jpg" \* MERGEFORMATINET </w:instrText>
            </w:r>
            <w:r>
              <w:fldChar w:fldCharType="separate"/>
            </w:r>
            <w:r>
              <w:fldChar w:fldCharType="begin"/>
            </w:r>
            <w:r>
              <w:instrText xml:space="preserve"> INCLUDEPICTURE  "https://shop.isotope.com/SupplyImages/WF00022/ULM-9204.jpg" \* MERGEFORMATINET </w:instrText>
            </w:r>
            <w:r>
              <w:fldChar w:fldCharType="separate"/>
            </w:r>
            <w:r>
              <w:fldChar w:fldCharType="begin"/>
            </w:r>
            <w:r>
              <w:instrText xml:space="preserve"> INCLUDEPICTURE  "https://shop.isotope.com/SupplyImages/WF00022/ULM-9204.jpg" \* MERGEFORMATINET </w:instrText>
            </w:r>
            <w:r>
              <w:fldChar w:fldCharType="separate"/>
            </w:r>
            <w:r>
              <w:pict>
                <v:shape id="_x0000_i1026" o:spt="75" type="#_x0000_t75" style="height:37.45pt;width:62.2pt;" filled="f" o:preferrelative="t" stroked="f" coordsize="21600,21600">
                  <v:path/>
                  <v:fill on="f" focussize="0,0"/>
                  <v:stroke on="f" joinstyle="miter"/>
                  <v:imagedata r:id="rId17" r:href="rId18" cropleft="15070f" croptop="20327f" cropright="10514f" cropbottom="21623f"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p>
        </w:tc>
      </w:tr>
      <w:tr w14:paraId="15998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0" w:type="dxa"/>
            <w:shd w:val="clear" w:color="auto" w:fill="auto"/>
            <w:vAlign w:val="center"/>
          </w:tcPr>
          <w:p w14:paraId="09451924">
            <w:pPr>
              <w:pStyle w:val="181"/>
              <w:adjustRightInd w:val="0"/>
              <w:snapToGrid w:val="0"/>
              <w:rPr>
                <w:rFonts w:hAnsi="宋体"/>
              </w:rPr>
            </w:pPr>
            <w:r>
              <w:rPr>
                <w:rFonts w:hAnsi="宋体"/>
              </w:rPr>
              <w:t>3</w:t>
            </w:r>
          </w:p>
        </w:tc>
        <w:tc>
          <w:tcPr>
            <w:tcW w:w="1748" w:type="dxa"/>
            <w:shd w:val="clear" w:color="auto" w:fill="auto"/>
            <w:vAlign w:val="center"/>
          </w:tcPr>
          <w:p w14:paraId="3AE24276">
            <w:pPr>
              <w:snapToGrid w:val="0"/>
              <w:spacing w:line="240" w:lineRule="auto"/>
              <w:jc w:val="center"/>
              <w:rPr>
                <w:rFonts w:ascii="宋体" w:hAnsi="宋体"/>
                <w:sz w:val="18"/>
                <w:szCs w:val="18"/>
              </w:rPr>
            </w:pPr>
            <w:r>
              <w:rPr>
                <w:rFonts w:ascii="宋体" w:hAnsi="宋体"/>
                <w:sz w:val="18"/>
                <w:szCs w:val="18"/>
              </w:rPr>
              <w:t>3-苯氧基苯甲酸</w:t>
            </w:r>
          </w:p>
        </w:tc>
        <w:tc>
          <w:tcPr>
            <w:tcW w:w="2109" w:type="dxa"/>
            <w:shd w:val="clear" w:color="auto" w:fill="auto"/>
            <w:vAlign w:val="center"/>
          </w:tcPr>
          <w:p w14:paraId="151C6E2E">
            <w:pPr>
              <w:snapToGrid w:val="0"/>
              <w:spacing w:line="240" w:lineRule="auto"/>
              <w:jc w:val="center"/>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rPr>
              <w:t>P</w:t>
            </w:r>
            <w:r>
              <w:rPr>
                <w:rFonts w:ascii="Times New Roman" w:hAnsi="Times New Roman"/>
                <w:sz w:val="18"/>
                <w:szCs w:val="18"/>
              </w:rPr>
              <w:t>henoxybenzoic acid</w:t>
            </w:r>
          </w:p>
        </w:tc>
        <w:tc>
          <w:tcPr>
            <w:tcW w:w="909" w:type="dxa"/>
            <w:vAlign w:val="center"/>
          </w:tcPr>
          <w:p w14:paraId="7EBB8EDC">
            <w:pPr>
              <w:snapToGrid w:val="0"/>
              <w:spacing w:line="240" w:lineRule="auto"/>
              <w:jc w:val="center"/>
              <w:rPr>
                <w:rFonts w:ascii="Times New Roman" w:hAnsi="Times New Roman"/>
                <w:sz w:val="18"/>
                <w:szCs w:val="18"/>
              </w:rPr>
            </w:pPr>
            <w:r>
              <w:rPr>
                <w:rFonts w:ascii="Times New Roman" w:hAnsi="Times New Roman"/>
              </w:rPr>
              <w:t>3-PBA</w:t>
            </w:r>
          </w:p>
        </w:tc>
        <w:tc>
          <w:tcPr>
            <w:tcW w:w="1195" w:type="dxa"/>
            <w:shd w:val="clear" w:color="auto" w:fill="auto"/>
            <w:vAlign w:val="center"/>
          </w:tcPr>
          <w:p w14:paraId="7C6477F1">
            <w:pPr>
              <w:snapToGrid w:val="0"/>
              <w:spacing w:line="240" w:lineRule="auto"/>
              <w:jc w:val="center"/>
              <w:rPr>
                <w:rFonts w:ascii="宋体" w:hAnsi="宋体"/>
                <w:sz w:val="18"/>
                <w:szCs w:val="18"/>
              </w:rPr>
            </w:pPr>
            <w:bookmarkStart w:id="193" w:name="OLE_LINK24"/>
            <w:r>
              <w:rPr>
                <w:rFonts w:ascii="宋体" w:hAnsi="宋体"/>
                <w:sz w:val="18"/>
                <w:szCs w:val="18"/>
              </w:rPr>
              <w:t>3739-38-6</w:t>
            </w:r>
            <w:bookmarkEnd w:id="193"/>
          </w:p>
        </w:tc>
        <w:tc>
          <w:tcPr>
            <w:tcW w:w="1006" w:type="dxa"/>
            <w:shd w:val="clear" w:color="auto" w:fill="auto"/>
            <w:vAlign w:val="center"/>
          </w:tcPr>
          <w:p w14:paraId="355A59A7">
            <w:pPr>
              <w:snapToGrid w:val="0"/>
              <w:spacing w:line="240" w:lineRule="auto"/>
              <w:jc w:val="center"/>
              <w:rPr>
                <w:rFonts w:ascii="Times New Roman" w:hAnsi="Times New Roman"/>
                <w:sz w:val="18"/>
                <w:szCs w:val="18"/>
              </w:rPr>
            </w:pPr>
            <w:r>
              <w:rPr>
                <w:rFonts w:ascii="Times New Roman" w:hAnsi="Times New Roman"/>
                <w:sz w:val="18"/>
                <w:szCs w:val="18"/>
              </w:rPr>
              <w:t>214.2</w:t>
            </w:r>
            <w:r>
              <w:rPr>
                <w:rFonts w:hint="eastAsia" w:ascii="Times New Roman" w:hAnsi="Times New Roman"/>
                <w:sz w:val="18"/>
                <w:szCs w:val="18"/>
              </w:rPr>
              <w:t>2</w:t>
            </w:r>
          </w:p>
        </w:tc>
        <w:tc>
          <w:tcPr>
            <w:tcW w:w="1877" w:type="dxa"/>
            <w:shd w:val="clear" w:color="auto" w:fill="auto"/>
            <w:vAlign w:val="center"/>
          </w:tcPr>
          <w:p w14:paraId="662E344E">
            <w:pPr>
              <w:pStyle w:val="181"/>
              <w:adjustRightInd w:val="0"/>
              <w:snapToGrid w:val="0"/>
              <w:rPr>
                <w:rFonts w:hAnsi="宋体"/>
              </w:rPr>
            </w:pPr>
            <w:r>
              <w:fldChar w:fldCharType="begin"/>
            </w:r>
            <w:r>
              <w:instrText xml:space="preserve"> INCLUDEPICTURE "https://shop.isotope.com/SupplyImages/WF00022/ULM-6781.jpg" \* MERGEFORMATINET </w:instrText>
            </w:r>
            <w:r>
              <w:fldChar w:fldCharType="separate"/>
            </w:r>
            <w:r>
              <w:fldChar w:fldCharType="begin"/>
            </w:r>
            <w:r>
              <w:instrText xml:space="preserve"> INCLUDEPICTURE  "https://shop.isotope.com/SupplyImages/WF00022/ULM-6781.jpg" \* MERGEFORMATINET </w:instrText>
            </w:r>
            <w:r>
              <w:fldChar w:fldCharType="separate"/>
            </w:r>
            <w:r>
              <w:fldChar w:fldCharType="begin"/>
            </w:r>
            <w:r>
              <w:instrText xml:space="preserve"> INCLUDEPICTURE  "https://shop.isotope.com/SupplyImages/WF00022/ULM-6781.jpg" \* MERGEFORMATINET </w:instrText>
            </w:r>
            <w:r>
              <w:fldChar w:fldCharType="separate"/>
            </w:r>
            <w:r>
              <w:fldChar w:fldCharType="begin"/>
            </w:r>
            <w:r>
              <w:instrText xml:space="preserve"> INCLUDEPICTURE  "https://shop.isotope.com/SupplyImages/WF00022/ULM-6781.jpg" \* MERGEFORMATINET </w:instrText>
            </w:r>
            <w:r>
              <w:fldChar w:fldCharType="separate"/>
            </w:r>
            <w:r>
              <w:fldChar w:fldCharType="begin"/>
            </w:r>
            <w:r>
              <w:instrText xml:space="preserve"> INCLUDEPICTURE  "https://shop.isotope.com/SupplyImages/WF00022/ULM-6781.jpg" \* MERGEFORMATINET </w:instrText>
            </w:r>
            <w:r>
              <w:fldChar w:fldCharType="separate"/>
            </w:r>
            <w:r>
              <w:fldChar w:fldCharType="begin"/>
            </w:r>
            <w:r>
              <w:instrText xml:space="preserve"> INCLUDEPICTURE  "https://shop.isotope.com/SupplyImages/WF00022/ULM-6781.jpg" \* MERGEFORMATINET </w:instrText>
            </w:r>
            <w:r>
              <w:fldChar w:fldCharType="separate"/>
            </w:r>
            <w:r>
              <w:fldChar w:fldCharType="begin"/>
            </w:r>
            <w:r>
              <w:instrText xml:space="preserve"> INCLUDEPICTURE  "https://shop.isotope.com/SupplyImages/WF00022/ULM-6781.jpg" \* MERGEFORMATINET </w:instrText>
            </w:r>
            <w:r>
              <w:fldChar w:fldCharType="separate"/>
            </w:r>
            <w:r>
              <w:pict>
                <v:shape id="_x0000_i1027" o:spt="75" type="#_x0000_t75" style="height:47.25pt;width:60.5pt;" filled="f" o:preferrelative="t" stroked="f" coordsize="21600,21600">
                  <v:path/>
                  <v:fill on="f" focussize="0,0"/>
                  <v:stroke on="f" joinstyle="miter"/>
                  <v:imagedata r:id="rId19" r:href="rId20" cropleft="9227f" croptop="12302f" cropright="9724f" cropbottom="16901f"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p>
        </w:tc>
      </w:tr>
      <w:tr w14:paraId="2B6DB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0" w:type="dxa"/>
            <w:shd w:val="clear" w:color="auto" w:fill="auto"/>
            <w:vAlign w:val="center"/>
          </w:tcPr>
          <w:p w14:paraId="3F34EBB2">
            <w:pPr>
              <w:pStyle w:val="181"/>
              <w:adjustRightInd w:val="0"/>
              <w:snapToGrid w:val="0"/>
              <w:rPr>
                <w:rFonts w:hAnsi="宋体"/>
              </w:rPr>
            </w:pPr>
            <w:r>
              <w:rPr>
                <w:rFonts w:hAnsi="宋体"/>
              </w:rPr>
              <w:t>4</w:t>
            </w:r>
          </w:p>
        </w:tc>
        <w:tc>
          <w:tcPr>
            <w:tcW w:w="1748" w:type="dxa"/>
            <w:shd w:val="clear" w:color="auto" w:fill="auto"/>
            <w:vAlign w:val="center"/>
          </w:tcPr>
          <w:p w14:paraId="6C42D3E4">
            <w:pPr>
              <w:snapToGrid w:val="0"/>
              <w:spacing w:line="240" w:lineRule="auto"/>
              <w:jc w:val="center"/>
              <w:rPr>
                <w:rFonts w:ascii="宋体" w:hAnsi="宋体"/>
                <w:sz w:val="18"/>
                <w:szCs w:val="18"/>
              </w:rPr>
            </w:pPr>
            <w:r>
              <w:rPr>
                <w:rFonts w:ascii="宋体" w:hAnsi="宋体"/>
                <w:sz w:val="18"/>
                <w:szCs w:val="18"/>
              </w:rPr>
              <w:t>4-氟-3-苯氧基苯甲酸</w:t>
            </w:r>
          </w:p>
        </w:tc>
        <w:tc>
          <w:tcPr>
            <w:tcW w:w="2109" w:type="dxa"/>
            <w:shd w:val="clear" w:color="auto" w:fill="auto"/>
            <w:vAlign w:val="center"/>
          </w:tcPr>
          <w:p w14:paraId="5AC7D5ED">
            <w:pPr>
              <w:snapToGrid w:val="0"/>
              <w:spacing w:line="240" w:lineRule="auto"/>
              <w:jc w:val="center"/>
              <w:rPr>
                <w:rFonts w:ascii="Times New Roman" w:hAnsi="Times New Roman"/>
                <w:sz w:val="18"/>
                <w:szCs w:val="18"/>
              </w:rPr>
            </w:pPr>
            <w:r>
              <w:rPr>
                <w:rFonts w:ascii="Times New Roman" w:hAnsi="Times New Roman"/>
                <w:sz w:val="18"/>
                <w:szCs w:val="18"/>
              </w:rPr>
              <w:t>4-</w:t>
            </w:r>
            <w:r>
              <w:rPr>
                <w:rFonts w:hint="eastAsia" w:ascii="Times New Roman" w:hAnsi="Times New Roman"/>
                <w:sz w:val="18"/>
                <w:szCs w:val="18"/>
              </w:rPr>
              <w:t>F</w:t>
            </w:r>
            <w:r>
              <w:rPr>
                <w:rFonts w:ascii="Times New Roman" w:hAnsi="Times New Roman"/>
                <w:sz w:val="18"/>
                <w:szCs w:val="18"/>
              </w:rPr>
              <w:t>luoro-3-phenoxy benzoic acid</w:t>
            </w:r>
          </w:p>
        </w:tc>
        <w:tc>
          <w:tcPr>
            <w:tcW w:w="909" w:type="dxa"/>
            <w:vAlign w:val="center"/>
          </w:tcPr>
          <w:p w14:paraId="3F66C7EE">
            <w:pPr>
              <w:snapToGrid w:val="0"/>
              <w:spacing w:line="240" w:lineRule="auto"/>
              <w:jc w:val="center"/>
              <w:rPr>
                <w:rFonts w:ascii="Times New Roman" w:hAnsi="Times New Roman"/>
                <w:sz w:val="18"/>
                <w:szCs w:val="18"/>
              </w:rPr>
            </w:pPr>
            <w:r>
              <w:rPr>
                <w:rFonts w:ascii="Times New Roman" w:hAnsi="Times New Roman"/>
              </w:rPr>
              <w:t>4F-3PBA</w:t>
            </w:r>
          </w:p>
        </w:tc>
        <w:tc>
          <w:tcPr>
            <w:tcW w:w="1195" w:type="dxa"/>
            <w:shd w:val="clear" w:color="auto" w:fill="auto"/>
            <w:vAlign w:val="center"/>
          </w:tcPr>
          <w:p w14:paraId="6510BF57">
            <w:pPr>
              <w:snapToGrid w:val="0"/>
              <w:spacing w:line="240" w:lineRule="auto"/>
              <w:jc w:val="center"/>
              <w:rPr>
                <w:rFonts w:ascii="宋体" w:hAnsi="宋体"/>
                <w:sz w:val="18"/>
                <w:szCs w:val="18"/>
              </w:rPr>
            </w:pPr>
            <w:r>
              <w:rPr>
                <w:rFonts w:ascii="宋体" w:hAnsi="宋体"/>
                <w:sz w:val="18"/>
                <w:szCs w:val="18"/>
              </w:rPr>
              <w:t>77279-89-1</w:t>
            </w:r>
          </w:p>
        </w:tc>
        <w:tc>
          <w:tcPr>
            <w:tcW w:w="1006" w:type="dxa"/>
            <w:shd w:val="clear" w:color="auto" w:fill="auto"/>
            <w:vAlign w:val="center"/>
          </w:tcPr>
          <w:p w14:paraId="4E894A31">
            <w:pPr>
              <w:snapToGrid w:val="0"/>
              <w:spacing w:line="240" w:lineRule="auto"/>
              <w:jc w:val="center"/>
              <w:rPr>
                <w:rFonts w:ascii="Times New Roman" w:hAnsi="Times New Roman"/>
                <w:sz w:val="18"/>
                <w:szCs w:val="18"/>
              </w:rPr>
            </w:pPr>
            <w:r>
              <w:rPr>
                <w:rFonts w:ascii="Times New Roman" w:hAnsi="Times New Roman"/>
                <w:sz w:val="18"/>
                <w:szCs w:val="18"/>
              </w:rPr>
              <w:t>232.21</w:t>
            </w:r>
          </w:p>
        </w:tc>
        <w:tc>
          <w:tcPr>
            <w:tcW w:w="1877" w:type="dxa"/>
            <w:shd w:val="clear" w:color="auto" w:fill="auto"/>
            <w:vAlign w:val="center"/>
          </w:tcPr>
          <w:p w14:paraId="03F00EA0">
            <w:pPr>
              <w:pStyle w:val="181"/>
              <w:adjustRightInd w:val="0"/>
              <w:snapToGrid w:val="0"/>
              <w:rPr>
                <w:rFonts w:hAnsi="宋体"/>
              </w:rPr>
            </w:pPr>
            <w:r>
              <w:pict>
                <v:shape id="_x0000_i1028" o:spt="75" type="#_x0000_t75" style="height:44.35pt;width:80.05pt;" filled="f" o:preferrelative="t" stroked="f" coordsize="21600,21600">
                  <v:path/>
                  <v:fill on="f" focussize="0,0"/>
                  <v:stroke on="f" joinstyle="miter"/>
                  <v:imagedata r:id="rId21" cropleft="5167f" croptop="6086f" cropright="4635f" o:title="d60ae0ab08f74ac4b1b032df1537d89f"/>
                  <o:lock v:ext="edit" aspectratio="t"/>
                  <w10:wrap type="none"/>
                  <w10:anchorlock/>
                </v:shape>
              </w:pict>
            </w:r>
          </w:p>
        </w:tc>
      </w:tr>
      <w:tr w14:paraId="5A86C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0" w:type="dxa"/>
            <w:shd w:val="clear" w:color="auto" w:fill="auto"/>
            <w:vAlign w:val="center"/>
          </w:tcPr>
          <w:p w14:paraId="2AC255F7">
            <w:pPr>
              <w:pStyle w:val="181"/>
              <w:adjustRightInd w:val="0"/>
              <w:snapToGrid w:val="0"/>
              <w:rPr>
                <w:rFonts w:hAnsi="宋体"/>
              </w:rPr>
            </w:pPr>
            <w:r>
              <w:rPr>
                <w:rFonts w:hAnsi="宋体"/>
              </w:rPr>
              <w:t>5</w:t>
            </w:r>
          </w:p>
        </w:tc>
        <w:tc>
          <w:tcPr>
            <w:tcW w:w="1748" w:type="dxa"/>
            <w:shd w:val="clear" w:color="auto" w:fill="auto"/>
            <w:vAlign w:val="center"/>
          </w:tcPr>
          <w:p w14:paraId="7C68C037">
            <w:pPr>
              <w:snapToGrid w:val="0"/>
              <w:spacing w:line="240" w:lineRule="auto"/>
              <w:jc w:val="center"/>
              <w:rPr>
                <w:rFonts w:ascii="宋体" w:hAnsi="宋体"/>
                <w:sz w:val="18"/>
                <w:szCs w:val="18"/>
              </w:rPr>
            </w:pPr>
            <w:r>
              <w:rPr>
                <w:rFonts w:ascii="宋体" w:hAnsi="宋体"/>
                <w:sz w:val="18"/>
                <w:szCs w:val="18"/>
              </w:rPr>
              <w:t>顺式二氯乙烯基二甲基环丙烷羧酸</w:t>
            </w:r>
          </w:p>
        </w:tc>
        <w:tc>
          <w:tcPr>
            <w:tcW w:w="2109" w:type="dxa"/>
            <w:shd w:val="clear" w:color="auto" w:fill="auto"/>
            <w:vAlign w:val="center"/>
          </w:tcPr>
          <w:p w14:paraId="59A2F5DD">
            <w:pPr>
              <w:snapToGrid w:val="0"/>
              <w:spacing w:line="240" w:lineRule="auto"/>
              <w:jc w:val="center"/>
              <w:rPr>
                <w:rFonts w:ascii="Times New Roman" w:hAnsi="Times New Roman"/>
                <w:sz w:val="18"/>
                <w:szCs w:val="18"/>
              </w:rPr>
            </w:pPr>
            <w:r>
              <w:rPr>
                <w:rFonts w:ascii="Times New Roman" w:hAnsi="Times New Roman"/>
                <w:sz w:val="18"/>
                <w:szCs w:val="18"/>
              </w:rPr>
              <w:t>Cis-dichlorovinyl-dimethylcyclopropane carboxylic acid</w:t>
            </w:r>
          </w:p>
        </w:tc>
        <w:tc>
          <w:tcPr>
            <w:tcW w:w="909" w:type="dxa"/>
            <w:vAlign w:val="center"/>
          </w:tcPr>
          <w:p w14:paraId="5BBF111A">
            <w:pPr>
              <w:snapToGrid w:val="0"/>
              <w:spacing w:line="240" w:lineRule="auto"/>
              <w:jc w:val="center"/>
              <w:rPr>
                <w:rFonts w:ascii="Times New Roman" w:hAnsi="Times New Roman"/>
                <w:sz w:val="18"/>
                <w:szCs w:val="18"/>
              </w:rPr>
            </w:pPr>
            <w:r>
              <w:rPr>
                <w:rFonts w:ascii="Times New Roman" w:hAnsi="Times New Roman"/>
              </w:rPr>
              <w:t>cis-DCCA</w:t>
            </w:r>
          </w:p>
        </w:tc>
        <w:tc>
          <w:tcPr>
            <w:tcW w:w="1195" w:type="dxa"/>
            <w:shd w:val="clear" w:color="auto" w:fill="auto"/>
            <w:vAlign w:val="center"/>
          </w:tcPr>
          <w:p w14:paraId="4BFFE8EA">
            <w:pPr>
              <w:snapToGrid w:val="0"/>
              <w:spacing w:line="240" w:lineRule="auto"/>
              <w:jc w:val="center"/>
              <w:rPr>
                <w:rFonts w:ascii="宋体" w:hAnsi="宋体"/>
                <w:sz w:val="18"/>
                <w:szCs w:val="18"/>
              </w:rPr>
            </w:pPr>
            <w:r>
              <w:rPr>
                <w:rFonts w:ascii="宋体" w:hAnsi="宋体"/>
                <w:sz w:val="18"/>
                <w:szCs w:val="18"/>
              </w:rPr>
              <w:t>59042-49-8</w:t>
            </w:r>
          </w:p>
        </w:tc>
        <w:tc>
          <w:tcPr>
            <w:tcW w:w="1006" w:type="dxa"/>
            <w:shd w:val="clear" w:color="auto" w:fill="auto"/>
            <w:vAlign w:val="center"/>
          </w:tcPr>
          <w:p w14:paraId="33972403">
            <w:pPr>
              <w:snapToGrid w:val="0"/>
              <w:spacing w:line="240" w:lineRule="auto"/>
              <w:jc w:val="center"/>
              <w:rPr>
                <w:rFonts w:ascii="Times New Roman" w:hAnsi="Times New Roman"/>
                <w:sz w:val="18"/>
                <w:szCs w:val="18"/>
              </w:rPr>
            </w:pPr>
            <w:r>
              <w:rPr>
                <w:rFonts w:ascii="Times New Roman" w:hAnsi="Times New Roman"/>
                <w:sz w:val="18"/>
                <w:szCs w:val="18"/>
              </w:rPr>
              <w:t>209.07</w:t>
            </w:r>
          </w:p>
        </w:tc>
        <w:tc>
          <w:tcPr>
            <w:tcW w:w="1877" w:type="dxa"/>
            <w:shd w:val="clear" w:color="auto" w:fill="auto"/>
            <w:vAlign w:val="center"/>
          </w:tcPr>
          <w:p w14:paraId="484D5A1C">
            <w:pPr>
              <w:pStyle w:val="181"/>
              <w:adjustRightInd w:val="0"/>
              <w:snapToGrid w:val="0"/>
              <w:rPr>
                <w:rFonts w:hAnsi="宋体"/>
              </w:rPr>
            </w:pPr>
            <w:r>
              <w:fldChar w:fldCharType="begin"/>
            </w:r>
            <w:r>
              <w:instrText xml:space="preserve"> INCLUDEPICTURE "https://shop.isotope.com/SupplyImages/WF00022/ULM-9176.jpg" \* MERGEFORMATINET </w:instrText>
            </w:r>
            <w:r>
              <w:fldChar w:fldCharType="separate"/>
            </w:r>
            <w:r>
              <w:fldChar w:fldCharType="begin"/>
            </w:r>
            <w:r>
              <w:instrText xml:space="preserve"> INCLUDEPICTURE  "https://shop.isotope.com/SupplyImages/WF00022/ULM-9176.jpg" \* MERGEFORMATINET </w:instrText>
            </w:r>
            <w:r>
              <w:fldChar w:fldCharType="separate"/>
            </w:r>
            <w:r>
              <w:fldChar w:fldCharType="begin"/>
            </w:r>
            <w:r>
              <w:instrText xml:space="preserve"> INCLUDEPICTURE  "https://shop.isotope.com/SupplyImages/WF00022/ULM-9176.jpg" \* MERGEFORMATINET </w:instrText>
            </w:r>
            <w:r>
              <w:fldChar w:fldCharType="separate"/>
            </w:r>
            <w:r>
              <w:fldChar w:fldCharType="begin"/>
            </w:r>
            <w:r>
              <w:instrText xml:space="preserve"> INCLUDEPICTURE  "https://shop.isotope.com/SupplyImages/WF00022/ULM-9176.jpg" \* MERGEFORMATINET </w:instrText>
            </w:r>
            <w:r>
              <w:fldChar w:fldCharType="separate"/>
            </w:r>
            <w:r>
              <w:fldChar w:fldCharType="begin"/>
            </w:r>
            <w:r>
              <w:instrText xml:space="preserve"> INCLUDEPICTURE  "https://shop.isotope.com/SupplyImages/WF00022/ULM-9176.jpg" \* MERGEFORMATINET </w:instrText>
            </w:r>
            <w:r>
              <w:fldChar w:fldCharType="separate"/>
            </w:r>
            <w:r>
              <w:fldChar w:fldCharType="begin"/>
            </w:r>
            <w:r>
              <w:instrText xml:space="preserve"> INCLUDEPICTURE  "https://shop.isotope.com/SupplyImages/WF00022/ULM-9176.jpg" \* MERGEFORMATINET </w:instrText>
            </w:r>
            <w:r>
              <w:fldChar w:fldCharType="separate"/>
            </w:r>
            <w:r>
              <w:fldChar w:fldCharType="begin"/>
            </w:r>
            <w:r>
              <w:instrText xml:space="preserve"> INCLUDEPICTURE  "https://shop.isotope.com/SupplyImages/WF00022/ULM-9176.jpg" \* MERGEFORMATINET </w:instrText>
            </w:r>
            <w:r>
              <w:fldChar w:fldCharType="separate"/>
            </w:r>
            <w:r>
              <w:pict>
                <v:shape id="_x0000_i1029" o:spt="75" type="#_x0000_t75" style="height:47.25pt;width:74.3pt;" filled="f" o:preferrelative="t" stroked="f" coordsize="21600,21600">
                  <v:path/>
                  <v:fill on="f" focussize="0,0"/>
                  <v:stroke on="f" joinstyle="miter"/>
                  <v:imagedata r:id="rId22" r:href="rId23" cropleft="4394f" croptop="13967f" cropright="5232f" cropbottom="16177f"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p>
        </w:tc>
      </w:tr>
      <w:tr w14:paraId="51728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0" w:type="dxa"/>
            <w:shd w:val="clear" w:color="auto" w:fill="auto"/>
            <w:vAlign w:val="center"/>
          </w:tcPr>
          <w:p w14:paraId="7FAFB9B0">
            <w:pPr>
              <w:pStyle w:val="181"/>
              <w:adjustRightInd w:val="0"/>
              <w:snapToGrid w:val="0"/>
              <w:rPr>
                <w:rFonts w:hAnsi="宋体"/>
              </w:rPr>
            </w:pPr>
            <w:r>
              <w:rPr>
                <w:rFonts w:hAnsi="宋体"/>
              </w:rPr>
              <w:t>6</w:t>
            </w:r>
          </w:p>
        </w:tc>
        <w:tc>
          <w:tcPr>
            <w:tcW w:w="1748" w:type="dxa"/>
            <w:shd w:val="clear" w:color="auto" w:fill="auto"/>
            <w:vAlign w:val="center"/>
          </w:tcPr>
          <w:p w14:paraId="13738DCD">
            <w:pPr>
              <w:snapToGrid w:val="0"/>
              <w:spacing w:line="240" w:lineRule="auto"/>
              <w:jc w:val="center"/>
              <w:rPr>
                <w:rFonts w:ascii="宋体" w:hAnsi="宋体"/>
                <w:sz w:val="18"/>
                <w:szCs w:val="18"/>
              </w:rPr>
            </w:pPr>
            <w:r>
              <w:rPr>
                <w:rFonts w:ascii="宋体" w:hAnsi="宋体"/>
                <w:sz w:val="18"/>
                <w:szCs w:val="18"/>
              </w:rPr>
              <w:t>反式二氯乙烯基二甲基环丙烷羧酸</w:t>
            </w:r>
          </w:p>
        </w:tc>
        <w:tc>
          <w:tcPr>
            <w:tcW w:w="2109" w:type="dxa"/>
            <w:shd w:val="clear" w:color="auto" w:fill="auto"/>
            <w:vAlign w:val="center"/>
          </w:tcPr>
          <w:p w14:paraId="5313A47F">
            <w:pPr>
              <w:snapToGrid w:val="0"/>
              <w:spacing w:line="240" w:lineRule="auto"/>
              <w:jc w:val="center"/>
              <w:rPr>
                <w:rFonts w:ascii="Times New Roman" w:hAnsi="Times New Roman"/>
                <w:sz w:val="18"/>
                <w:szCs w:val="18"/>
              </w:rPr>
            </w:pPr>
            <w:r>
              <w:rPr>
                <w:rFonts w:ascii="Times New Roman" w:hAnsi="Times New Roman"/>
                <w:sz w:val="18"/>
                <w:szCs w:val="18"/>
              </w:rPr>
              <w:t>Trans-dichlorovinyl-dimethylcyclopropane carboxylic acid</w:t>
            </w:r>
          </w:p>
        </w:tc>
        <w:tc>
          <w:tcPr>
            <w:tcW w:w="909" w:type="dxa"/>
            <w:vAlign w:val="center"/>
          </w:tcPr>
          <w:p w14:paraId="339A90BA">
            <w:pPr>
              <w:snapToGrid w:val="0"/>
              <w:spacing w:line="240" w:lineRule="auto"/>
              <w:jc w:val="center"/>
              <w:rPr>
                <w:rFonts w:ascii="Times New Roman" w:hAnsi="Times New Roman"/>
                <w:sz w:val="18"/>
                <w:szCs w:val="18"/>
              </w:rPr>
            </w:pPr>
            <w:r>
              <w:rPr>
                <w:rFonts w:ascii="Times New Roman" w:hAnsi="Times New Roman"/>
              </w:rPr>
              <w:t>trans-DCCA</w:t>
            </w:r>
          </w:p>
        </w:tc>
        <w:tc>
          <w:tcPr>
            <w:tcW w:w="1195" w:type="dxa"/>
            <w:shd w:val="clear" w:color="auto" w:fill="auto"/>
            <w:vAlign w:val="center"/>
          </w:tcPr>
          <w:p w14:paraId="4BAEFB53">
            <w:pPr>
              <w:snapToGrid w:val="0"/>
              <w:spacing w:line="240" w:lineRule="auto"/>
              <w:jc w:val="center"/>
              <w:rPr>
                <w:rFonts w:ascii="宋体" w:hAnsi="宋体"/>
                <w:sz w:val="18"/>
                <w:szCs w:val="18"/>
              </w:rPr>
            </w:pPr>
            <w:r>
              <w:rPr>
                <w:rFonts w:ascii="宋体" w:hAnsi="宋体"/>
                <w:sz w:val="18"/>
                <w:szCs w:val="18"/>
              </w:rPr>
              <w:t>59042-50-1</w:t>
            </w:r>
          </w:p>
        </w:tc>
        <w:tc>
          <w:tcPr>
            <w:tcW w:w="1006" w:type="dxa"/>
            <w:shd w:val="clear" w:color="auto" w:fill="auto"/>
            <w:vAlign w:val="center"/>
          </w:tcPr>
          <w:p w14:paraId="12EC6B22">
            <w:pPr>
              <w:snapToGrid w:val="0"/>
              <w:spacing w:line="240" w:lineRule="auto"/>
              <w:jc w:val="center"/>
              <w:rPr>
                <w:rFonts w:ascii="Times New Roman" w:hAnsi="Times New Roman"/>
                <w:sz w:val="18"/>
                <w:szCs w:val="18"/>
              </w:rPr>
            </w:pPr>
            <w:r>
              <w:rPr>
                <w:rFonts w:ascii="Times New Roman" w:hAnsi="Times New Roman"/>
                <w:sz w:val="18"/>
                <w:szCs w:val="18"/>
              </w:rPr>
              <w:t>209.07</w:t>
            </w:r>
          </w:p>
        </w:tc>
        <w:tc>
          <w:tcPr>
            <w:tcW w:w="1877" w:type="dxa"/>
            <w:shd w:val="clear" w:color="auto" w:fill="auto"/>
            <w:vAlign w:val="center"/>
          </w:tcPr>
          <w:p w14:paraId="12D6B1E0">
            <w:pPr>
              <w:pStyle w:val="181"/>
              <w:adjustRightInd w:val="0"/>
              <w:snapToGrid w:val="0"/>
              <w:rPr>
                <w:rFonts w:hAnsi="宋体"/>
              </w:rPr>
            </w:pPr>
            <w:r>
              <w:fldChar w:fldCharType="begin"/>
            </w:r>
            <w:r>
              <w:instrText xml:space="preserve"> INCLUDEPICTURE "https://shop.isotope.com/SupplyImages/WF00022/ULM-9175.jpg" \* MERGEFORMATINET </w:instrText>
            </w:r>
            <w:r>
              <w:fldChar w:fldCharType="separate"/>
            </w:r>
            <w:r>
              <w:fldChar w:fldCharType="begin"/>
            </w:r>
            <w:r>
              <w:instrText xml:space="preserve"> INCLUDEPICTURE  "https://shop.isotope.com/SupplyImages/WF00022/ULM-9175.jpg" \* MERGEFORMATINET </w:instrText>
            </w:r>
            <w:r>
              <w:fldChar w:fldCharType="separate"/>
            </w:r>
            <w:r>
              <w:fldChar w:fldCharType="begin"/>
            </w:r>
            <w:r>
              <w:instrText xml:space="preserve"> INCLUDEPICTURE  "https://shop.isotope.com/SupplyImages/WF00022/ULM-9175.jpg" \* MERGEFORMATINET </w:instrText>
            </w:r>
            <w:r>
              <w:fldChar w:fldCharType="separate"/>
            </w:r>
            <w:r>
              <w:fldChar w:fldCharType="begin"/>
            </w:r>
            <w:r>
              <w:instrText xml:space="preserve"> INCLUDEPICTURE  "https://shop.isotope.com/SupplyImages/WF00022/ULM-9175.jpg" \* MERGEFORMATINET </w:instrText>
            </w:r>
            <w:r>
              <w:fldChar w:fldCharType="separate"/>
            </w:r>
            <w:r>
              <w:fldChar w:fldCharType="begin"/>
            </w:r>
            <w:r>
              <w:instrText xml:space="preserve"> INCLUDEPICTURE  "https://shop.isotope.com/SupplyImages/WF00022/ULM-9175.jpg" \* MERGEFORMATINET </w:instrText>
            </w:r>
            <w:r>
              <w:fldChar w:fldCharType="separate"/>
            </w:r>
            <w:r>
              <w:fldChar w:fldCharType="begin"/>
            </w:r>
            <w:r>
              <w:instrText xml:space="preserve"> INCLUDEPICTURE  "https://shop.isotope.com/SupplyImages/WF00022/ULM-9175.jpg" \* MERGEFORMATINET </w:instrText>
            </w:r>
            <w:r>
              <w:fldChar w:fldCharType="separate"/>
            </w:r>
            <w:r>
              <w:fldChar w:fldCharType="begin"/>
            </w:r>
            <w:r>
              <w:instrText xml:space="preserve"> INCLUDEPICTURE  "https://shop.isotope.com/SupplyImages/WF00022/ULM-9175.jpg" \* MERGEFORMATINET </w:instrText>
            </w:r>
            <w:r>
              <w:fldChar w:fldCharType="separate"/>
            </w:r>
            <w:r>
              <w:pict>
                <v:shape id="_x0000_i1030" o:spt="75" type="#_x0000_t75" style="height:41.45pt;width:73.75pt;" filled="f" o:preferrelative="t" stroked="f" coordsize="21600,21600">
                  <v:path/>
                  <v:fill on="f" focussize="0,0"/>
                  <v:stroke on="f" joinstyle="miter"/>
                  <v:imagedata r:id="rId24" r:href="rId25" cropleft="9052f" croptop="15752f" cropbottom="17837f"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p>
        </w:tc>
      </w:tr>
      <w:tr w14:paraId="19751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0" w:type="dxa"/>
            <w:shd w:val="clear" w:color="auto" w:fill="auto"/>
            <w:vAlign w:val="center"/>
          </w:tcPr>
          <w:p w14:paraId="3286130D">
            <w:pPr>
              <w:pStyle w:val="181"/>
              <w:adjustRightInd w:val="0"/>
              <w:snapToGrid w:val="0"/>
              <w:rPr>
                <w:rFonts w:hAnsi="宋体"/>
              </w:rPr>
            </w:pPr>
            <w:r>
              <w:rPr>
                <w:rFonts w:hAnsi="宋体"/>
              </w:rPr>
              <w:t>7</w:t>
            </w:r>
          </w:p>
        </w:tc>
        <w:tc>
          <w:tcPr>
            <w:tcW w:w="1748" w:type="dxa"/>
            <w:shd w:val="clear" w:color="auto" w:fill="auto"/>
            <w:vAlign w:val="center"/>
          </w:tcPr>
          <w:p w14:paraId="5C95A4CD">
            <w:pPr>
              <w:snapToGrid w:val="0"/>
              <w:spacing w:line="240" w:lineRule="auto"/>
              <w:jc w:val="center"/>
              <w:rPr>
                <w:rFonts w:ascii="宋体" w:hAnsi="宋体"/>
                <w:sz w:val="18"/>
                <w:szCs w:val="18"/>
              </w:rPr>
            </w:pPr>
            <w:r>
              <w:rPr>
                <w:rFonts w:ascii="宋体" w:hAnsi="宋体"/>
                <w:sz w:val="18"/>
                <w:szCs w:val="18"/>
              </w:rPr>
              <w:t>2,4-二氯苯氧乙酸</w:t>
            </w:r>
          </w:p>
        </w:tc>
        <w:tc>
          <w:tcPr>
            <w:tcW w:w="2109" w:type="dxa"/>
            <w:shd w:val="clear" w:color="auto" w:fill="auto"/>
            <w:vAlign w:val="center"/>
          </w:tcPr>
          <w:p w14:paraId="73E02675">
            <w:pPr>
              <w:snapToGrid w:val="0"/>
              <w:spacing w:line="240" w:lineRule="auto"/>
              <w:jc w:val="center"/>
              <w:rPr>
                <w:rFonts w:ascii="Times New Roman" w:hAnsi="Times New Roman"/>
                <w:sz w:val="18"/>
                <w:szCs w:val="18"/>
              </w:rPr>
            </w:pPr>
            <w:r>
              <w:rPr>
                <w:rFonts w:ascii="Times New Roman" w:hAnsi="Times New Roman"/>
                <w:sz w:val="18"/>
                <w:szCs w:val="18"/>
              </w:rPr>
              <w:t>2,4-</w:t>
            </w:r>
            <w:r>
              <w:rPr>
                <w:rFonts w:hint="eastAsia" w:ascii="Times New Roman" w:hAnsi="Times New Roman"/>
                <w:sz w:val="18"/>
                <w:szCs w:val="18"/>
              </w:rPr>
              <w:t>D</w:t>
            </w:r>
            <w:r>
              <w:rPr>
                <w:rFonts w:ascii="Times New Roman" w:hAnsi="Times New Roman"/>
                <w:sz w:val="18"/>
                <w:szCs w:val="18"/>
              </w:rPr>
              <w:t>icholorphenoxyacetic acid</w:t>
            </w:r>
          </w:p>
        </w:tc>
        <w:tc>
          <w:tcPr>
            <w:tcW w:w="909" w:type="dxa"/>
            <w:vAlign w:val="center"/>
          </w:tcPr>
          <w:p w14:paraId="79305C79">
            <w:pPr>
              <w:snapToGrid w:val="0"/>
              <w:spacing w:line="240" w:lineRule="auto"/>
              <w:jc w:val="center"/>
              <w:rPr>
                <w:rFonts w:ascii="Times New Roman" w:hAnsi="Times New Roman"/>
                <w:sz w:val="18"/>
                <w:szCs w:val="18"/>
              </w:rPr>
            </w:pPr>
            <w:r>
              <w:rPr>
                <w:rFonts w:ascii="Times New Roman" w:hAnsi="Times New Roman"/>
              </w:rPr>
              <w:t>2,4-D</w:t>
            </w:r>
          </w:p>
        </w:tc>
        <w:tc>
          <w:tcPr>
            <w:tcW w:w="1195" w:type="dxa"/>
            <w:shd w:val="clear" w:color="auto" w:fill="auto"/>
            <w:vAlign w:val="center"/>
          </w:tcPr>
          <w:p w14:paraId="4F588578">
            <w:pPr>
              <w:snapToGrid w:val="0"/>
              <w:spacing w:line="240" w:lineRule="auto"/>
              <w:jc w:val="center"/>
              <w:rPr>
                <w:rFonts w:ascii="宋体" w:hAnsi="宋体"/>
                <w:sz w:val="18"/>
                <w:szCs w:val="18"/>
              </w:rPr>
            </w:pPr>
            <w:r>
              <w:rPr>
                <w:rFonts w:ascii="宋体" w:hAnsi="宋体"/>
                <w:sz w:val="18"/>
                <w:szCs w:val="18"/>
              </w:rPr>
              <w:t>94-75-7</w:t>
            </w:r>
          </w:p>
        </w:tc>
        <w:tc>
          <w:tcPr>
            <w:tcW w:w="1006" w:type="dxa"/>
            <w:shd w:val="clear" w:color="auto" w:fill="auto"/>
            <w:vAlign w:val="center"/>
          </w:tcPr>
          <w:p w14:paraId="12051BA5">
            <w:pPr>
              <w:snapToGrid w:val="0"/>
              <w:spacing w:line="240" w:lineRule="auto"/>
              <w:jc w:val="center"/>
              <w:rPr>
                <w:rFonts w:ascii="Times New Roman" w:hAnsi="Times New Roman"/>
                <w:sz w:val="18"/>
                <w:szCs w:val="18"/>
              </w:rPr>
            </w:pPr>
            <w:r>
              <w:rPr>
                <w:rFonts w:ascii="Times New Roman" w:hAnsi="Times New Roman"/>
                <w:sz w:val="18"/>
                <w:szCs w:val="18"/>
              </w:rPr>
              <w:t>221.04</w:t>
            </w:r>
          </w:p>
        </w:tc>
        <w:tc>
          <w:tcPr>
            <w:tcW w:w="1877" w:type="dxa"/>
            <w:shd w:val="clear" w:color="auto" w:fill="auto"/>
            <w:vAlign w:val="center"/>
          </w:tcPr>
          <w:p w14:paraId="6902549E">
            <w:pPr>
              <w:pStyle w:val="181"/>
              <w:adjustRightInd w:val="0"/>
              <w:snapToGrid w:val="0"/>
              <w:rPr>
                <w:rFonts w:hAnsi="宋体"/>
              </w:rPr>
            </w:pPr>
            <w:r>
              <w:fldChar w:fldCharType="begin"/>
            </w:r>
            <w:r>
              <w:instrText xml:space="preserve"> INCLUDEPICTURE "https://shop.isotope.com/SupplyImages/WF00022/ULM-7418.jpg" \* MERGEFORMATINET </w:instrText>
            </w:r>
            <w:r>
              <w:fldChar w:fldCharType="separate"/>
            </w:r>
            <w:r>
              <w:fldChar w:fldCharType="begin"/>
            </w:r>
            <w:r>
              <w:instrText xml:space="preserve"> INCLUDEPICTURE  "https://shop.isotope.com/SupplyImages/WF00022/ULM-7418.jpg" \* MERGEFORMATINET </w:instrText>
            </w:r>
            <w:r>
              <w:fldChar w:fldCharType="separate"/>
            </w:r>
            <w:r>
              <w:fldChar w:fldCharType="begin"/>
            </w:r>
            <w:r>
              <w:instrText xml:space="preserve"> INCLUDEPICTURE  "https://shop.isotope.com/SupplyImages/WF00022/ULM-7418.jpg" \* MERGEFORMATINET </w:instrText>
            </w:r>
            <w:r>
              <w:fldChar w:fldCharType="separate"/>
            </w:r>
            <w:r>
              <w:fldChar w:fldCharType="begin"/>
            </w:r>
            <w:r>
              <w:instrText xml:space="preserve"> INCLUDEPICTURE  "https://shop.isotope.com/SupplyImages/WF00022/ULM-7418.jpg" \* MERGEFORMATINET </w:instrText>
            </w:r>
            <w:r>
              <w:fldChar w:fldCharType="separate"/>
            </w:r>
            <w:r>
              <w:fldChar w:fldCharType="begin"/>
            </w:r>
            <w:r>
              <w:instrText xml:space="preserve"> INCLUDEPICTURE  "https://shop.isotope.com/SupplyImages/WF00022/ULM-7418.jpg" \* MERGEFORMATINET </w:instrText>
            </w:r>
            <w:r>
              <w:fldChar w:fldCharType="separate"/>
            </w:r>
            <w:r>
              <w:fldChar w:fldCharType="begin"/>
            </w:r>
            <w:r>
              <w:instrText xml:space="preserve"> INCLUDEPICTURE  "https://shop.isotope.com/SupplyImages/WF00022/ULM-7418.jpg" \* MERGEFORMATINET </w:instrText>
            </w:r>
            <w:r>
              <w:fldChar w:fldCharType="separate"/>
            </w:r>
            <w:r>
              <w:fldChar w:fldCharType="begin"/>
            </w:r>
            <w:r>
              <w:instrText xml:space="preserve"> INCLUDEPICTURE  "https://shop.isotope.com/SupplyImages/WF00022/ULM-7418.jpg" \* MERGEFORMATINET </w:instrText>
            </w:r>
            <w:r>
              <w:fldChar w:fldCharType="separate"/>
            </w:r>
            <w:r>
              <w:pict>
                <v:shape id="_x0000_i1031" o:spt="75" type="#_x0000_t75" style="height:42.05pt;width:79.5pt;" filled="f" o:preferrelative="t" stroked="f" coordsize="21600,21600">
                  <v:path/>
                  <v:fill on="f" focussize="0,0"/>
                  <v:stroke on="f" joinstyle="miter"/>
                  <v:imagedata r:id="rId26" r:href="rId27" croptop="14016f" cropbottom="16722f"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p>
        </w:tc>
      </w:tr>
      <w:tr w14:paraId="42415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0" w:type="dxa"/>
            <w:shd w:val="clear" w:color="auto" w:fill="auto"/>
            <w:vAlign w:val="center"/>
          </w:tcPr>
          <w:p w14:paraId="3CDD9692">
            <w:pPr>
              <w:pStyle w:val="181"/>
              <w:adjustRightInd w:val="0"/>
              <w:snapToGrid w:val="0"/>
              <w:rPr>
                <w:rFonts w:hAnsi="宋体"/>
              </w:rPr>
            </w:pPr>
            <w:r>
              <w:rPr>
                <w:rFonts w:hAnsi="宋体"/>
              </w:rPr>
              <w:t>8</w:t>
            </w:r>
          </w:p>
        </w:tc>
        <w:tc>
          <w:tcPr>
            <w:tcW w:w="1748" w:type="dxa"/>
            <w:shd w:val="clear" w:color="auto" w:fill="auto"/>
            <w:vAlign w:val="center"/>
          </w:tcPr>
          <w:p w14:paraId="1BE63330">
            <w:pPr>
              <w:snapToGrid w:val="0"/>
              <w:spacing w:line="240" w:lineRule="auto"/>
              <w:jc w:val="center"/>
              <w:rPr>
                <w:rFonts w:ascii="宋体" w:hAnsi="宋体"/>
                <w:sz w:val="18"/>
                <w:szCs w:val="18"/>
              </w:rPr>
            </w:pPr>
            <w:r>
              <w:rPr>
                <w:rFonts w:ascii="宋体" w:hAnsi="宋体"/>
                <w:sz w:val="18"/>
                <w:szCs w:val="18"/>
              </w:rPr>
              <w:t>2,4,5-三氯苯氧乙酸</w:t>
            </w:r>
          </w:p>
        </w:tc>
        <w:tc>
          <w:tcPr>
            <w:tcW w:w="2109" w:type="dxa"/>
            <w:shd w:val="clear" w:color="auto" w:fill="auto"/>
            <w:vAlign w:val="center"/>
          </w:tcPr>
          <w:p w14:paraId="69466B3D">
            <w:pPr>
              <w:snapToGrid w:val="0"/>
              <w:spacing w:line="240" w:lineRule="auto"/>
              <w:jc w:val="center"/>
              <w:rPr>
                <w:rFonts w:ascii="Times New Roman" w:hAnsi="Times New Roman"/>
                <w:sz w:val="18"/>
                <w:szCs w:val="18"/>
              </w:rPr>
            </w:pPr>
            <w:r>
              <w:rPr>
                <w:rFonts w:ascii="Times New Roman" w:hAnsi="Times New Roman"/>
                <w:sz w:val="18"/>
                <w:szCs w:val="18"/>
              </w:rPr>
              <w:t>2,4,5-</w:t>
            </w:r>
            <w:r>
              <w:rPr>
                <w:rFonts w:hint="eastAsia" w:ascii="Times New Roman" w:hAnsi="Times New Roman"/>
                <w:sz w:val="18"/>
                <w:szCs w:val="18"/>
              </w:rPr>
              <w:t>T</w:t>
            </w:r>
            <w:r>
              <w:rPr>
                <w:rFonts w:ascii="Times New Roman" w:hAnsi="Times New Roman"/>
                <w:sz w:val="18"/>
                <w:szCs w:val="18"/>
              </w:rPr>
              <w:t>richolorphenoxyacetic acid</w:t>
            </w:r>
          </w:p>
        </w:tc>
        <w:tc>
          <w:tcPr>
            <w:tcW w:w="909" w:type="dxa"/>
            <w:vAlign w:val="center"/>
          </w:tcPr>
          <w:p w14:paraId="4D8CE2D8">
            <w:pPr>
              <w:snapToGrid w:val="0"/>
              <w:spacing w:line="240" w:lineRule="auto"/>
              <w:jc w:val="center"/>
              <w:rPr>
                <w:rFonts w:ascii="Times New Roman" w:hAnsi="Times New Roman"/>
                <w:sz w:val="18"/>
                <w:szCs w:val="18"/>
              </w:rPr>
            </w:pPr>
            <w:r>
              <w:rPr>
                <w:rFonts w:ascii="Times New Roman" w:hAnsi="Times New Roman"/>
              </w:rPr>
              <w:t>2,4,5-T</w:t>
            </w:r>
          </w:p>
        </w:tc>
        <w:tc>
          <w:tcPr>
            <w:tcW w:w="1195" w:type="dxa"/>
            <w:shd w:val="clear" w:color="auto" w:fill="auto"/>
            <w:vAlign w:val="center"/>
          </w:tcPr>
          <w:p w14:paraId="30E75096">
            <w:pPr>
              <w:snapToGrid w:val="0"/>
              <w:spacing w:line="240" w:lineRule="auto"/>
              <w:jc w:val="center"/>
              <w:rPr>
                <w:rFonts w:ascii="宋体" w:hAnsi="宋体"/>
                <w:sz w:val="18"/>
                <w:szCs w:val="18"/>
              </w:rPr>
            </w:pPr>
            <w:r>
              <w:rPr>
                <w:rFonts w:ascii="宋体" w:hAnsi="宋体"/>
                <w:sz w:val="18"/>
                <w:szCs w:val="18"/>
              </w:rPr>
              <w:t>93-76-5</w:t>
            </w:r>
          </w:p>
        </w:tc>
        <w:tc>
          <w:tcPr>
            <w:tcW w:w="1006" w:type="dxa"/>
            <w:shd w:val="clear" w:color="auto" w:fill="auto"/>
            <w:vAlign w:val="center"/>
          </w:tcPr>
          <w:p w14:paraId="350B5559">
            <w:pPr>
              <w:snapToGrid w:val="0"/>
              <w:spacing w:line="240" w:lineRule="auto"/>
              <w:jc w:val="center"/>
              <w:rPr>
                <w:rFonts w:ascii="Times New Roman" w:hAnsi="Times New Roman"/>
                <w:sz w:val="18"/>
                <w:szCs w:val="18"/>
              </w:rPr>
            </w:pPr>
            <w:r>
              <w:rPr>
                <w:rFonts w:ascii="Times New Roman" w:hAnsi="Times New Roman"/>
                <w:sz w:val="18"/>
                <w:szCs w:val="18"/>
              </w:rPr>
              <w:t>225.48</w:t>
            </w:r>
          </w:p>
        </w:tc>
        <w:tc>
          <w:tcPr>
            <w:tcW w:w="1877" w:type="dxa"/>
            <w:shd w:val="clear" w:color="auto" w:fill="auto"/>
            <w:vAlign w:val="center"/>
          </w:tcPr>
          <w:p w14:paraId="0ED5FC6B">
            <w:pPr>
              <w:pStyle w:val="181"/>
              <w:adjustRightInd w:val="0"/>
              <w:snapToGrid w:val="0"/>
              <w:rPr>
                <w:rFonts w:hAnsi="宋体"/>
              </w:rPr>
            </w:pPr>
            <w:r>
              <w:fldChar w:fldCharType="begin"/>
            </w:r>
            <w:r>
              <w:instrText xml:space="preserve"> INCLUDEPICTURE "https://shop.isotope.com/SupplyImages/WF00022/ULM-7213.jpg" \* MERGEFORMATINET </w:instrText>
            </w:r>
            <w:r>
              <w:fldChar w:fldCharType="separate"/>
            </w:r>
            <w:r>
              <w:fldChar w:fldCharType="begin"/>
            </w:r>
            <w:r>
              <w:instrText xml:space="preserve"> INCLUDEPICTURE  "https://shop.isotope.com/SupplyImages/WF00022/ULM-7213.jpg" \* MERGEFORMATINET </w:instrText>
            </w:r>
            <w:r>
              <w:fldChar w:fldCharType="separate"/>
            </w:r>
            <w:r>
              <w:fldChar w:fldCharType="begin"/>
            </w:r>
            <w:r>
              <w:instrText xml:space="preserve"> INCLUDEPICTURE  "https://shop.isotope.com/SupplyImages/WF00022/ULM-7213.jpg" \* MERGEFORMATINET </w:instrText>
            </w:r>
            <w:r>
              <w:fldChar w:fldCharType="separate"/>
            </w:r>
            <w:r>
              <w:fldChar w:fldCharType="begin"/>
            </w:r>
            <w:r>
              <w:instrText xml:space="preserve"> INCLUDEPICTURE  "https://shop.isotope.com/SupplyImages/WF00022/ULM-7213.jpg" \* MERGEFORMATINET </w:instrText>
            </w:r>
            <w:r>
              <w:fldChar w:fldCharType="separate"/>
            </w:r>
            <w:r>
              <w:fldChar w:fldCharType="begin"/>
            </w:r>
            <w:r>
              <w:instrText xml:space="preserve"> INCLUDEPICTURE  "https://shop.isotope.com/SupplyImages/WF00022/ULM-7213.jpg" \* MERGEFORMATINET </w:instrText>
            </w:r>
            <w:r>
              <w:fldChar w:fldCharType="separate"/>
            </w:r>
            <w:r>
              <w:fldChar w:fldCharType="begin"/>
            </w:r>
            <w:r>
              <w:instrText xml:space="preserve"> INCLUDEPICTURE  "https://shop.isotope.com/SupplyImages/WF00022/ULM-7213.jpg" \* MERGEFORMATINET </w:instrText>
            </w:r>
            <w:r>
              <w:fldChar w:fldCharType="separate"/>
            </w:r>
            <w:r>
              <w:fldChar w:fldCharType="begin"/>
            </w:r>
            <w:r>
              <w:instrText xml:space="preserve"> INCLUDEPICTURE  "https://shop.isotope.com/SupplyImages/WF00022/ULM-7213.jpg" \* MERGEFORMATINET </w:instrText>
            </w:r>
            <w:r>
              <w:fldChar w:fldCharType="separate"/>
            </w:r>
            <w:r>
              <w:pict>
                <v:shape id="_x0000_i1032" o:spt="75" type="#_x0000_t75" style="height:40.3pt;width:82.35pt;" filled="f" o:preferrelative="t" stroked="f" coordsize="21600,21600">
                  <v:path/>
                  <v:fill on="f" focussize="0,0"/>
                  <v:stroke on="f" joinstyle="miter"/>
                  <v:imagedata r:id="rId28" r:href="rId29" croptop="16006f" cropbottom="17519f"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p>
        </w:tc>
      </w:tr>
    </w:tbl>
    <w:p w14:paraId="1F56DFDE">
      <w:pPr>
        <w:pStyle w:val="80"/>
        <w:numPr>
          <w:ilvl w:val="0"/>
          <w:numId w:val="0"/>
        </w:numPr>
        <w:spacing w:before="120" w:after="120"/>
        <w:jc w:val="both"/>
      </w:pPr>
    </w:p>
    <w:p w14:paraId="62D7162C">
      <w:pPr>
        <w:pStyle w:val="59"/>
        <w:ind w:firstLine="420"/>
      </w:pPr>
    </w:p>
    <w:p w14:paraId="707A7D9C">
      <w:pPr>
        <w:pStyle w:val="59"/>
        <w:ind w:firstLine="420"/>
      </w:pPr>
    </w:p>
    <w:p w14:paraId="2631AB88">
      <w:pPr>
        <w:pStyle w:val="59"/>
        <w:ind w:firstLine="420"/>
        <w:sectPr>
          <w:pgSz w:w="11906" w:h="16838"/>
          <w:pgMar w:top="567" w:right="1134" w:bottom="1134" w:left="1134" w:header="1418" w:footer="1134" w:gutter="284"/>
          <w:cols w:space="425" w:num="1"/>
          <w:formProt w:val="0"/>
          <w:docGrid w:linePitch="312" w:charSpace="0"/>
        </w:sectPr>
      </w:pPr>
    </w:p>
    <w:p w14:paraId="5A8E3C93">
      <w:pPr>
        <w:pStyle w:val="201"/>
      </w:pPr>
    </w:p>
    <w:p w14:paraId="1DB6A7C6">
      <w:pPr>
        <w:pStyle w:val="202"/>
      </w:pPr>
    </w:p>
    <w:p w14:paraId="034F1EA4">
      <w:pPr>
        <w:pStyle w:val="79"/>
        <w:spacing w:before="60" w:after="120"/>
      </w:pPr>
      <w:r>
        <w:br w:type="textWrapping"/>
      </w:r>
      <w:bookmarkStart w:id="194" w:name="_Toc201916964"/>
      <w:bookmarkStart w:id="195" w:name="_Toc83893146"/>
      <w:bookmarkStart w:id="196" w:name="_Toc76128077"/>
      <w:bookmarkStart w:id="197" w:name="_Toc83893107"/>
      <w:bookmarkStart w:id="198" w:name="_Toc70341324"/>
      <w:bookmarkStart w:id="199" w:name="_Toc76128048"/>
      <w:r>
        <w:rPr>
          <w:rFonts w:hint="eastAsia"/>
        </w:rPr>
        <w:t>（资料性）</w:t>
      </w:r>
      <w:r>
        <w:br w:type="textWrapping"/>
      </w:r>
      <w:r>
        <w:t>8</w:t>
      </w:r>
      <w:r>
        <w:rPr>
          <w:rFonts w:hint="eastAsia"/>
        </w:rPr>
        <w:t>种农药及代谢物及其稳定同位素内标的质谱参数</w:t>
      </w:r>
      <w:bookmarkEnd w:id="194"/>
      <w:bookmarkEnd w:id="195"/>
      <w:bookmarkEnd w:id="196"/>
      <w:bookmarkEnd w:id="197"/>
      <w:bookmarkEnd w:id="198"/>
      <w:bookmarkEnd w:id="199"/>
    </w:p>
    <w:p w14:paraId="4AC780D7">
      <w:pPr>
        <w:pStyle w:val="59"/>
        <w:ind w:firstLine="420"/>
        <w:rPr>
          <w:rFonts w:hAnsi="宋体"/>
        </w:rPr>
      </w:pPr>
      <w:r>
        <w:rPr>
          <w:rFonts w:hAnsi="宋体"/>
        </w:rPr>
        <w:t>8种</w:t>
      </w:r>
      <w:r>
        <w:rPr>
          <w:rFonts w:hint="eastAsia" w:ascii="Times New Roman"/>
        </w:rPr>
        <w:t>农药</w:t>
      </w:r>
      <w:r>
        <w:rPr>
          <w:rFonts w:ascii="Times New Roman"/>
        </w:rPr>
        <w:t>及</w:t>
      </w:r>
      <w:r>
        <w:rPr>
          <w:rFonts w:hAnsi="宋体"/>
        </w:rPr>
        <w:t>代谢物的质谱参数参考条件</w:t>
      </w:r>
      <w:r>
        <w:rPr>
          <w:rFonts w:hint="eastAsia" w:hAnsi="宋体"/>
        </w:rPr>
        <w:t>1</w:t>
      </w:r>
      <w:r>
        <w:rPr>
          <w:rFonts w:hAnsi="宋体"/>
        </w:rPr>
        <w:t>如下：</w:t>
      </w:r>
    </w:p>
    <w:p w14:paraId="3FB2BDFE">
      <w:pPr>
        <w:pStyle w:val="177"/>
        <w:numPr>
          <w:ilvl w:val="0"/>
          <w:numId w:val="33"/>
        </w:numPr>
        <w:ind w:left="425" w:firstLine="357"/>
        <w:rPr>
          <w:rFonts w:hAnsi="宋体"/>
        </w:rPr>
      </w:pPr>
      <w:r>
        <w:rPr>
          <w:rFonts w:hAnsi="宋体"/>
        </w:rPr>
        <w:t>碰撞气：氮气。</w:t>
      </w:r>
    </w:p>
    <w:p w14:paraId="7BEBD39F">
      <w:pPr>
        <w:pStyle w:val="177"/>
        <w:numPr>
          <w:ilvl w:val="0"/>
          <w:numId w:val="33"/>
        </w:numPr>
        <w:ind w:left="425" w:firstLine="357"/>
        <w:rPr>
          <w:rFonts w:hAnsi="宋体"/>
        </w:rPr>
      </w:pPr>
      <w:r>
        <w:rPr>
          <w:rFonts w:hAnsi="宋体"/>
        </w:rPr>
        <w:t>气帘气：</w:t>
      </w:r>
      <w:r>
        <w:rPr>
          <w:rFonts w:hint="eastAsia" w:hAnsi="宋体"/>
        </w:rPr>
        <w:t>2</w:t>
      </w:r>
      <w:r>
        <w:rPr>
          <w:rFonts w:hAnsi="宋体"/>
        </w:rPr>
        <w:t>07 kPa。</w:t>
      </w:r>
    </w:p>
    <w:p w14:paraId="69AE900E">
      <w:pPr>
        <w:pStyle w:val="177"/>
        <w:numPr>
          <w:ilvl w:val="0"/>
          <w:numId w:val="33"/>
        </w:numPr>
        <w:ind w:left="425" w:firstLine="357"/>
        <w:rPr>
          <w:rFonts w:hAnsi="宋体"/>
        </w:rPr>
      </w:pPr>
      <w:r>
        <w:rPr>
          <w:rFonts w:hAnsi="宋体"/>
        </w:rPr>
        <w:t>雾化气：</w:t>
      </w:r>
      <w:r>
        <w:rPr>
          <w:rFonts w:hint="eastAsia" w:hAnsi="宋体"/>
        </w:rPr>
        <w:t>3</w:t>
      </w:r>
      <w:r>
        <w:rPr>
          <w:rFonts w:hAnsi="宋体"/>
        </w:rPr>
        <w:t>45 kPa。</w:t>
      </w:r>
    </w:p>
    <w:p w14:paraId="3682533B">
      <w:pPr>
        <w:pStyle w:val="177"/>
        <w:numPr>
          <w:ilvl w:val="0"/>
          <w:numId w:val="33"/>
        </w:numPr>
        <w:ind w:left="425" w:firstLine="357"/>
        <w:rPr>
          <w:rFonts w:hAnsi="宋体"/>
        </w:rPr>
      </w:pPr>
      <w:r>
        <w:rPr>
          <w:rFonts w:hAnsi="宋体"/>
        </w:rPr>
        <w:t>加热气：</w:t>
      </w:r>
      <w:r>
        <w:rPr>
          <w:rFonts w:hint="eastAsia" w:hAnsi="宋体"/>
        </w:rPr>
        <w:t>4</w:t>
      </w:r>
      <w:r>
        <w:rPr>
          <w:rFonts w:hAnsi="宋体"/>
        </w:rPr>
        <w:t>14 kPa。</w:t>
      </w:r>
    </w:p>
    <w:p w14:paraId="1EBDFDD7">
      <w:pPr>
        <w:pStyle w:val="177"/>
        <w:numPr>
          <w:ilvl w:val="0"/>
          <w:numId w:val="33"/>
        </w:numPr>
        <w:ind w:left="425" w:firstLine="357"/>
        <w:rPr>
          <w:rFonts w:hAnsi="宋体"/>
        </w:rPr>
      </w:pPr>
      <w:r>
        <w:rPr>
          <w:rFonts w:hAnsi="宋体"/>
          <w:color w:val="000000" w:themeColor="text1"/>
          <w14:textFill>
            <w14:solidFill>
              <w14:schemeClr w14:val="tx1"/>
            </w14:solidFill>
          </w14:textFill>
        </w:rPr>
        <w:t>喷</w:t>
      </w:r>
      <w:r>
        <w:rPr>
          <w:rFonts w:hAnsi="宋体"/>
        </w:rPr>
        <w:t xml:space="preserve">雾电压：-4500 </w:t>
      </w:r>
      <w:r>
        <w:rPr>
          <w:rFonts w:ascii="Times New Roman"/>
        </w:rPr>
        <w:t>V</w:t>
      </w:r>
      <w:r>
        <w:rPr>
          <w:rFonts w:hAnsi="宋体"/>
        </w:rPr>
        <w:t>。</w:t>
      </w:r>
    </w:p>
    <w:p w14:paraId="005EA346">
      <w:pPr>
        <w:pStyle w:val="177"/>
        <w:numPr>
          <w:ilvl w:val="0"/>
          <w:numId w:val="33"/>
        </w:numPr>
        <w:ind w:left="425" w:firstLine="357"/>
        <w:rPr>
          <w:rFonts w:hAnsi="宋体"/>
        </w:rPr>
      </w:pPr>
      <w:r>
        <w:rPr>
          <w:rFonts w:hAnsi="宋体"/>
        </w:rPr>
        <w:t>离子源温度：350 ℃。</w:t>
      </w:r>
    </w:p>
    <w:p w14:paraId="6E6D98D5">
      <w:pPr>
        <w:pStyle w:val="59"/>
        <w:ind w:left="424" w:firstLine="0" w:firstLineChars="0"/>
        <w:rPr>
          <w:rFonts w:hAnsi="宋体"/>
        </w:rPr>
      </w:pPr>
      <w:r>
        <w:rPr>
          <w:rFonts w:hAnsi="宋体"/>
        </w:rPr>
        <w:t>8种</w:t>
      </w:r>
      <w:r>
        <w:rPr>
          <w:rFonts w:hint="eastAsia" w:ascii="Times New Roman"/>
        </w:rPr>
        <w:t>农药</w:t>
      </w:r>
      <w:r>
        <w:rPr>
          <w:rFonts w:ascii="Times New Roman"/>
        </w:rPr>
        <w:t>及</w:t>
      </w:r>
      <w:r>
        <w:rPr>
          <w:rFonts w:hAnsi="宋体"/>
        </w:rPr>
        <w:t>代谢物的质谱参数参考条件1如下：</w:t>
      </w:r>
    </w:p>
    <w:p w14:paraId="221F8FAC">
      <w:pPr>
        <w:pStyle w:val="177"/>
        <w:numPr>
          <w:ilvl w:val="0"/>
          <w:numId w:val="34"/>
        </w:numPr>
        <w:ind w:left="425" w:firstLine="357"/>
        <w:rPr>
          <w:rFonts w:hAnsi="宋体"/>
        </w:rPr>
      </w:pPr>
      <w:r>
        <w:rPr>
          <w:rFonts w:hint="eastAsia" w:hAnsi="宋体"/>
        </w:rPr>
        <w:t>雾化气</w:t>
      </w:r>
      <w:r>
        <w:rPr>
          <w:rFonts w:hAnsi="宋体"/>
        </w:rPr>
        <w:t>流量：</w:t>
      </w:r>
      <w:r>
        <w:rPr>
          <w:rFonts w:hint="eastAsia" w:hAnsi="宋体"/>
        </w:rPr>
        <w:t>3</w:t>
      </w:r>
      <w:r>
        <w:rPr>
          <w:rFonts w:hAnsi="宋体"/>
        </w:rPr>
        <w:t>.0 L/min。</w:t>
      </w:r>
    </w:p>
    <w:p w14:paraId="55C0B775">
      <w:pPr>
        <w:pStyle w:val="177"/>
        <w:numPr>
          <w:ilvl w:val="0"/>
          <w:numId w:val="34"/>
        </w:numPr>
        <w:ind w:left="425" w:firstLine="357"/>
        <w:rPr>
          <w:rFonts w:hAnsi="宋体"/>
        </w:rPr>
      </w:pPr>
      <w:r>
        <w:rPr>
          <w:rFonts w:hAnsi="宋体"/>
        </w:rPr>
        <w:t>干燥器流量</w:t>
      </w:r>
      <w:r>
        <w:rPr>
          <w:rFonts w:hint="eastAsia" w:hAnsi="宋体"/>
        </w:rPr>
        <w:t>：1</w:t>
      </w:r>
      <w:r>
        <w:rPr>
          <w:rFonts w:hAnsi="宋体"/>
        </w:rPr>
        <w:t>0.0 L</w:t>
      </w:r>
      <w:r>
        <w:rPr>
          <w:rFonts w:hint="eastAsia" w:hAnsi="宋体"/>
        </w:rPr>
        <w:t>/</w:t>
      </w:r>
      <w:r>
        <w:rPr>
          <w:rFonts w:hAnsi="宋体"/>
        </w:rPr>
        <w:t>min。</w:t>
      </w:r>
    </w:p>
    <w:p w14:paraId="56FF157F">
      <w:pPr>
        <w:pStyle w:val="177"/>
        <w:numPr>
          <w:ilvl w:val="0"/>
          <w:numId w:val="34"/>
        </w:numPr>
        <w:ind w:left="425" w:firstLine="357"/>
        <w:rPr>
          <w:rFonts w:hAnsi="宋体"/>
        </w:rPr>
      </w:pPr>
      <w:r>
        <w:rPr>
          <w:rFonts w:hAnsi="宋体"/>
        </w:rPr>
        <w:t>加热气流量：</w:t>
      </w:r>
      <w:r>
        <w:rPr>
          <w:rFonts w:hint="eastAsia" w:hAnsi="宋体"/>
        </w:rPr>
        <w:t>1</w:t>
      </w:r>
      <w:r>
        <w:rPr>
          <w:rFonts w:hAnsi="宋体"/>
        </w:rPr>
        <w:t>0.0 L</w:t>
      </w:r>
      <w:r>
        <w:rPr>
          <w:rFonts w:hint="eastAsia" w:hAnsi="宋体"/>
        </w:rPr>
        <w:t>/</w:t>
      </w:r>
      <w:r>
        <w:rPr>
          <w:rFonts w:hAnsi="宋体"/>
        </w:rPr>
        <w:t>min。</w:t>
      </w:r>
    </w:p>
    <w:p w14:paraId="03FB2705">
      <w:pPr>
        <w:pStyle w:val="177"/>
        <w:numPr>
          <w:ilvl w:val="0"/>
          <w:numId w:val="34"/>
        </w:numPr>
        <w:ind w:left="425" w:firstLine="357"/>
        <w:rPr>
          <w:rFonts w:hAnsi="宋体"/>
        </w:rPr>
      </w:pPr>
      <w:r>
        <w:rPr>
          <w:rFonts w:hAnsi="宋体"/>
        </w:rPr>
        <w:t>接口温度：</w:t>
      </w:r>
      <w:r>
        <w:rPr>
          <w:rFonts w:hint="eastAsia" w:hAnsi="宋体"/>
        </w:rPr>
        <w:t>3</w:t>
      </w:r>
      <w:r>
        <w:rPr>
          <w:rFonts w:hAnsi="宋体"/>
        </w:rPr>
        <w:t>50℃。</w:t>
      </w:r>
    </w:p>
    <w:p w14:paraId="025D2022">
      <w:pPr>
        <w:pStyle w:val="177"/>
        <w:numPr>
          <w:ilvl w:val="0"/>
          <w:numId w:val="34"/>
        </w:numPr>
        <w:ind w:left="425" w:firstLine="357"/>
        <w:rPr>
          <w:rFonts w:hAnsi="宋体"/>
        </w:rPr>
      </w:pPr>
      <w:r>
        <w:rPr>
          <w:rFonts w:hAnsi="宋体"/>
        </w:rPr>
        <w:t>脱溶剂管温度：</w:t>
      </w:r>
      <w:r>
        <w:rPr>
          <w:rFonts w:hint="eastAsia" w:hAnsi="宋体"/>
        </w:rPr>
        <w:t>2</w:t>
      </w:r>
      <w:r>
        <w:rPr>
          <w:rFonts w:hAnsi="宋体"/>
        </w:rPr>
        <w:t>50℃。</w:t>
      </w:r>
    </w:p>
    <w:p w14:paraId="4123C4DF">
      <w:pPr>
        <w:pStyle w:val="177"/>
        <w:numPr>
          <w:ilvl w:val="0"/>
          <w:numId w:val="34"/>
        </w:numPr>
        <w:ind w:left="425" w:firstLine="357"/>
        <w:rPr>
          <w:rFonts w:hAnsi="宋体"/>
        </w:rPr>
      </w:pPr>
      <w:r>
        <w:rPr>
          <w:rFonts w:hAnsi="宋体"/>
        </w:rPr>
        <w:t>加热块温度：400℃</w:t>
      </w:r>
    </w:p>
    <w:p w14:paraId="49AA729F">
      <w:pPr>
        <w:pStyle w:val="177"/>
        <w:numPr>
          <w:ilvl w:val="0"/>
          <w:numId w:val="0"/>
        </w:numPr>
        <w:ind w:firstLine="420" w:firstLineChars="200"/>
        <w:rPr>
          <w:rFonts w:hAnsi="宋体"/>
        </w:rPr>
      </w:pPr>
      <w:r>
        <w:rPr>
          <w:rFonts w:hAnsi="宋体"/>
        </w:rPr>
        <w:t>各目标分析物及内标的离子对、碰撞</w:t>
      </w:r>
      <w:r>
        <w:rPr>
          <w:rFonts w:hint="eastAsia" w:hAnsi="宋体"/>
        </w:rPr>
        <w:t>能量</w:t>
      </w:r>
      <w:r>
        <w:rPr>
          <w:rFonts w:hAnsi="宋体"/>
        </w:rPr>
        <w:t>参数见表</w:t>
      </w:r>
      <w:r>
        <w:rPr>
          <w:rFonts w:ascii="Times New Roman"/>
        </w:rPr>
        <w:t>B</w:t>
      </w:r>
      <w:r>
        <w:rPr>
          <w:rFonts w:hAnsi="宋体"/>
        </w:rPr>
        <w:t>.1。</w:t>
      </w:r>
    </w:p>
    <w:p w14:paraId="2AFC0E76">
      <w:pPr>
        <w:pStyle w:val="80"/>
        <w:spacing w:before="120" w:after="120"/>
      </w:pPr>
      <w:r>
        <w:t>8</w:t>
      </w:r>
      <w:r>
        <w:rPr>
          <w:rFonts w:hint="eastAsia"/>
        </w:rPr>
        <w:t>种农药及代谢物及其稳定同位素内标的质谱参数</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81"/>
        <w:gridCol w:w="1575"/>
        <w:gridCol w:w="1555"/>
        <w:gridCol w:w="1557"/>
      </w:tblGrid>
      <w:tr w14:paraId="1B44C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81" w:type="dxa"/>
            <w:tcBorders>
              <w:top w:val="single" w:color="auto" w:sz="8" w:space="0"/>
              <w:bottom w:val="single" w:color="auto" w:sz="8" w:space="0"/>
            </w:tcBorders>
            <w:shd w:val="clear" w:color="auto" w:fill="auto"/>
            <w:vAlign w:val="center"/>
          </w:tcPr>
          <w:p w14:paraId="22C39EC9">
            <w:pPr>
              <w:pStyle w:val="181"/>
              <w:rPr>
                <w:rFonts w:hAnsi="宋体"/>
              </w:rPr>
            </w:pPr>
            <w:r>
              <w:rPr>
                <w:rFonts w:hAnsi="宋体"/>
              </w:rPr>
              <w:t>序号</w:t>
            </w:r>
          </w:p>
        </w:tc>
        <w:tc>
          <w:tcPr>
            <w:tcW w:w="1555" w:type="dxa"/>
            <w:tcBorders>
              <w:top w:val="single" w:color="auto" w:sz="8" w:space="0"/>
              <w:bottom w:val="single" w:color="auto" w:sz="8" w:space="0"/>
            </w:tcBorders>
            <w:shd w:val="clear" w:color="auto" w:fill="auto"/>
            <w:vAlign w:val="center"/>
          </w:tcPr>
          <w:p w14:paraId="45AF374C">
            <w:pPr>
              <w:pStyle w:val="181"/>
              <w:rPr>
                <w:rFonts w:hAnsi="宋体"/>
              </w:rPr>
            </w:pPr>
            <w:r>
              <w:rPr>
                <w:rFonts w:hAnsi="宋体"/>
              </w:rPr>
              <w:t>化合物</w:t>
            </w:r>
          </w:p>
        </w:tc>
        <w:tc>
          <w:tcPr>
            <w:tcW w:w="1555" w:type="dxa"/>
            <w:tcBorders>
              <w:top w:val="single" w:color="auto" w:sz="8" w:space="0"/>
              <w:bottom w:val="single" w:color="auto" w:sz="8" w:space="0"/>
            </w:tcBorders>
            <w:shd w:val="clear" w:color="auto" w:fill="auto"/>
            <w:vAlign w:val="center"/>
          </w:tcPr>
          <w:p w14:paraId="26780D57">
            <w:pPr>
              <w:pStyle w:val="181"/>
              <w:rPr>
                <w:rFonts w:hAnsi="宋体"/>
              </w:rPr>
            </w:pPr>
            <w:r>
              <w:rPr>
                <w:rFonts w:hAnsi="宋体"/>
              </w:rPr>
              <w:t>离子对</w:t>
            </w:r>
            <w:r>
              <w:rPr>
                <w:rFonts w:ascii="Times New Roman"/>
              </w:rPr>
              <w:t>m/z</w:t>
            </w:r>
          </w:p>
        </w:tc>
        <w:tc>
          <w:tcPr>
            <w:tcW w:w="1557" w:type="dxa"/>
            <w:tcBorders>
              <w:top w:val="single" w:color="auto" w:sz="8" w:space="0"/>
              <w:bottom w:val="single" w:color="auto" w:sz="8" w:space="0"/>
            </w:tcBorders>
            <w:shd w:val="clear" w:color="auto" w:fill="auto"/>
            <w:vAlign w:val="center"/>
          </w:tcPr>
          <w:p w14:paraId="66A48AE9">
            <w:pPr>
              <w:pStyle w:val="181"/>
              <w:rPr>
                <w:rFonts w:hAnsi="宋体"/>
                <w:highlight w:val="yellow"/>
              </w:rPr>
            </w:pPr>
            <w:r>
              <w:rPr>
                <w:rFonts w:hAnsi="宋体"/>
              </w:rPr>
              <w:t>碰撞</w:t>
            </w:r>
            <w:r>
              <w:rPr>
                <w:rFonts w:hint="eastAsia" w:hAnsi="宋体"/>
              </w:rPr>
              <w:t>能量(eV)</w:t>
            </w:r>
          </w:p>
        </w:tc>
      </w:tr>
      <w:tr w14:paraId="32DF8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tcBorders>
              <w:top w:val="single" w:color="auto" w:sz="8" w:space="0"/>
            </w:tcBorders>
            <w:shd w:val="clear" w:color="auto" w:fill="auto"/>
            <w:vAlign w:val="center"/>
          </w:tcPr>
          <w:p w14:paraId="37D20A61">
            <w:pPr>
              <w:pStyle w:val="181"/>
              <w:rPr>
                <w:rFonts w:hAnsi="宋体"/>
              </w:rPr>
            </w:pPr>
            <w:r>
              <w:rPr>
                <w:rFonts w:hAnsi="宋体"/>
              </w:rPr>
              <w:t>1</w:t>
            </w:r>
          </w:p>
        </w:tc>
        <w:tc>
          <w:tcPr>
            <w:tcW w:w="1555" w:type="dxa"/>
            <w:vMerge w:val="restart"/>
            <w:tcBorders>
              <w:top w:val="single" w:color="auto" w:sz="8" w:space="0"/>
            </w:tcBorders>
            <w:shd w:val="clear" w:color="auto" w:fill="auto"/>
            <w:vAlign w:val="center"/>
          </w:tcPr>
          <w:p w14:paraId="0FE5096D">
            <w:pPr>
              <w:pStyle w:val="181"/>
              <w:rPr>
                <w:rFonts w:ascii="Times New Roman"/>
              </w:rPr>
            </w:pPr>
            <w:r>
              <w:rPr>
                <w:rFonts w:ascii="Times New Roman"/>
              </w:rPr>
              <w:t>PNP</w:t>
            </w:r>
          </w:p>
        </w:tc>
        <w:tc>
          <w:tcPr>
            <w:tcW w:w="1555" w:type="dxa"/>
            <w:tcBorders>
              <w:top w:val="single" w:color="auto" w:sz="8" w:space="0"/>
            </w:tcBorders>
            <w:shd w:val="clear" w:color="auto" w:fill="auto"/>
            <w:vAlign w:val="center"/>
          </w:tcPr>
          <w:p w14:paraId="0F454B3D">
            <w:pPr>
              <w:pStyle w:val="181"/>
              <w:rPr>
                <w:rFonts w:hAnsi="宋体"/>
              </w:rPr>
            </w:pPr>
            <w:r>
              <w:rPr>
                <w:rFonts w:eastAsia="仿宋"/>
                <w:color w:val="000000"/>
                <w:szCs w:val="21"/>
              </w:rPr>
              <w:t>138.0/108.0*</w:t>
            </w:r>
          </w:p>
        </w:tc>
        <w:tc>
          <w:tcPr>
            <w:tcW w:w="1557" w:type="dxa"/>
            <w:tcBorders>
              <w:top w:val="single" w:color="auto" w:sz="8" w:space="0"/>
            </w:tcBorders>
            <w:shd w:val="clear" w:color="auto" w:fill="auto"/>
          </w:tcPr>
          <w:p w14:paraId="706420C0">
            <w:pPr>
              <w:pStyle w:val="181"/>
              <w:rPr>
                <w:rFonts w:hAnsi="宋体"/>
              </w:rPr>
            </w:pPr>
            <w:r>
              <w:rPr>
                <w:rFonts w:eastAsia="仿宋"/>
                <w:color w:val="000000"/>
                <w:szCs w:val="21"/>
              </w:rPr>
              <w:t>-24</w:t>
            </w:r>
          </w:p>
        </w:tc>
      </w:tr>
      <w:tr w14:paraId="2D18A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436B3007">
            <w:pPr>
              <w:pStyle w:val="181"/>
              <w:rPr>
                <w:rFonts w:hAnsi="宋体"/>
              </w:rPr>
            </w:pPr>
          </w:p>
        </w:tc>
        <w:tc>
          <w:tcPr>
            <w:tcW w:w="1555" w:type="dxa"/>
            <w:vMerge w:val="continue"/>
            <w:shd w:val="clear" w:color="auto" w:fill="auto"/>
            <w:vAlign w:val="center"/>
          </w:tcPr>
          <w:p w14:paraId="021E5B7B">
            <w:pPr>
              <w:pStyle w:val="181"/>
              <w:rPr>
                <w:rFonts w:ascii="Times New Roman"/>
              </w:rPr>
            </w:pPr>
          </w:p>
        </w:tc>
        <w:tc>
          <w:tcPr>
            <w:tcW w:w="1555" w:type="dxa"/>
            <w:shd w:val="clear" w:color="auto" w:fill="auto"/>
            <w:vAlign w:val="center"/>
          </w:tcPr>
          <w:p w14:paraId="0D3EDA64">
            <w:pPr>
              <w:pStyle w:val="181"/>
              <w:rPr>
                <w:rFonts w:hAnsi="宋体"/>
              </w:rPr>
            </w:pPr>
            <w:r>
              <w:rPr>
                <w:rFonts w:eastAsia="仿宋"/>
                <w:color w:val="000000"/>
                <w:szCs w:val="21"/>
              </w:rPr>
              <w:t>138.0/92.1</w:t>
            </w:r>
          </w:p>
        </w:tc>
        <w:tc>
          <w:tcPr>
            <w:tcW w:w="1557" w:type="dxa"/>
            <w:shd w:val="clear" w:color="auto" w:fill="auto"/>
          </w:tcPr>
          <w:p w14:paraId="3F4CE04E">
            <w:pPr>
              <w:pStyle w:val="181"/>
              <w:rPr>
                <w:rFonts w:hAnsi="宋体"/>
              </w:rPr>
            </w:pPr>
            <w:r>
              <w:rPr>
                <w:rFonts w:eastAsia="仿宋"/>
                <w:color w:val="000000"/>
                <w:szCs w:val="21"/>
              </w:rPr>
              <w:t>-30</w:t>
            </w:r>
          </w:p>
        </w:tc>
      </w:tr>
      <w:tr w14:paraId="2E8B2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25EA5093">
            <w:pPr>
              <w:pStyle w:val="181"/>
              <w:rPr>
                <w:rFonts w:hAnsi="宋体"/>
              </w:rPr>
            </w:pPr>
            <w:r>
              <w:rPr>
                <w:rFonts w:hAnsi="宋体"/>
              </w:rPr>
              <w:t>2</w:t>
            </w:r>
          </w:p>
        </w:tc>
        <w:tc>
          <w:tcPr>
            <w:tcW w:w="1555" w:type="dxa"/>
            <w:vMerge w:val="restart"/>
            <w:shd w:val="clear" w:color="auto" w:fill="auto"/>
            <w:vAlign w:val="center"/>
          </w:tcPr>
          <w:p w14:paraId="2921CD81">
            <w:pPr>
              <w:pStyle w:val="181"/>
              <w:rPr>
                <w:rFonts w:ascii="Times New Roman"/>
              </w:rPr>
            </w:pPr>
            <w:r>
              <w:rPr>
                <w:rFonts w:ascii="Times New Roman"/>
              </w:rPr>
              <w:t>TCPY</w:t>
            </w:r>
          </w:p>
        </w:tc>
        <w:tc>
          <w:tcPr>
            <w:tcW w:w="1555" w:type="dxa"/>
            <w:shd w:val="clear" w:color="auto" w:fill="auto"/>
          </w:tcPr>
          <w:p w14:paraId="6AA46EB4">
            <w:pPr>
              <w:pStyle w:val="181"/>
              <w:rPr>
                <w:rFonts w:hAnsi="宋体"/>
              </w:rPr>
            </w:pPr>
            <w:r>
              <w:rPr>
                <w:rFonts w:eastAsia="仿宋"/>
                <w:color w:val="000000"/>
                <w:szCs w:val="21"/>
              </w:rPr>
              <w:t>196.0/35.1*</w:t>
            </w:r>
          </w:p>
        </w:tc>
        <w:tc>
          <w:tcPr>
            <w:tcW w:w="1557" w:type="dxa"/>
            <w:shd w:val="clear" w:color="auto" w:fill="auto"/>
          </w:tcPr>
          <w:p w14:paraId="4137F117">
            <w:pPr>
              <w:pStyle w:val="181"/>
              <w:rPr>
                <w:rFonts w:hAnsi="宋体"/>
              </w:rPr>
            </w:pPr>
            <w:r>
              <w:rPr>
                <w:rFonts w:eastAsia="仿宋"/>
                <w:color w:val="000000"/>
                <w:szCs w:val="21"/>
              </w:rPr>
              <w:t>-44</w:t>
            </w:r>
          </w:p>
        </w:tc>
      </w:tr>
      <w:tr w14:paraId="4DAAF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2BB1EDA0">
            <w:pPr>
              <w:pStyle w:val="181"/>
              <w:rPr>
                <w:rFonts w:hAnsi="宋体"/>
              </w:rPr>
            </w:pPr>
          </w:p>
        </w:tc>
        <w:tc>
          <w:tcPr>
            <w:tcW w:w="1555" w:type="dxa"/>
            <w:vMerge w:val="continue"/>
            <w:shd w:val="clear" w:color="auto" w:fill="auto"/>
            <w:vAlign w:val="center"/>
          </w:tcPr>
          <w:p w14:paraId="63F5E52B">
            <w:pPr>
              <w:pStyle w:val="181"/>
              <w:rPr>
                <w:rFonts w:ascii="Times New Roman"/>
              </w:rPr>
            </w:pPr>
          </w:p>
        </w:tc>
        <w:tc>
          <w:tcPr>
            <w:tcW w:w="1555" w:type="dxa"/>
            <w:shd w:val="clear" w:color="auto" w:fill="auto"/>
          </w:tcPr>
          <w:p w14:paraId="348BF12E">
            <w:pPr>
              <w:pStyle w:val="181"/>
              <w:rPr>
                <w:rFonts w:hAnsi="宋体"/>
              </w:rPr>
            </w:pPr>
            <w:r>
              <w:rPr>
                <w:rFonts w:eastAsia="仿宋"/>
                <w:color w:val="000000"/>
                <w:szCs w:val="21"/>
              </w:rPr>
              <w:t>198.0/35.1</w:t>
            </w:r>
          </w:p>
        </w:tc>
        <w:tc>
          <w:tcPr>
            <w:tcW w:w="1557" w:type="dxa"/>
            <w:shd w:val="clear" w:color="auto" w:fill="auto"/>
          </w:tcPr>
          <w:p w14:paraId="77B03F69">
            <w:pPr>
              <w:pStyle w:val="181"/>
              <w:rPr>
                <w:rFonts w:hAnsi="宋体"/>
              </w:rPr>
            </w:pPr>
            <w:r>
              <w:rPr>
                <w:rFonts w:eastAsia="仿宋"/>
                <w:color w:val="000000"/>
                <w:szCs w:val="21"/>
              </w:rPr>
              <w:t>-40</w:t>
            </w:r>
          </w:p>
        </w:tc>
      </w:tr>
      <w:tr w14:paraId="570CF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32911C82">
            <w:pPr>
              <w:pStyle w:val="181"/>
              <w:rPr>
                <w:rFonts w:hAnsi="宋体"/>
              </w:rPr>
            </w:pPr>
            <w:r>
              <w:rPr>
                <w:rFonts w:hAnsi="宋体"/>
              </w:rPr>
              <w:t>3</w:t>
            </w:r>
          </w:p>
        </w:tc>
        <w:tc>
          <w:tcPr>
            <w:tcW w:w="1555" w:type="dxa"/>
            <w:vMerge w:val="restart"/>
            <w:shd w:val="clear" w:color="auto" w:fill="auto"/>
            <w:vAlign w:val="center"/>
          </w:tcPr>
          <w:p w14:paraId="03FF6E0A">
            <w:pPr>
              <w:pStyle w:val="181"/>
              <w:rPr>
                <w:rFonts w:ascii="Times New Roman"/>
              </w:rPr>
            </w:pPr>
            <w:r>
              <w:rPr>
                <w:rFonts w:ascii="Times New Roman"/>
              </w:rPr>
              <w:t>3-PBA</w:t>
            </w:r>
          </w:p>
        </w:tc>
        <w:tc>
          <w:tcPr>
            <w:tcW w:w="1555" w:type="dxa"/>
            <w:shd w:val="clear" w:color="auto" w:fill="auto"/>
          </w:tcPr>
          <w:p w14:paraId="528C5FFE">
            <w:pPr>
              <w:pStyle w:val="181"/>
              <w:rPr>
                <w:rFonts w:hAnsi="宋体"/>
              </w:rPr>
            </w:pPr>
            <w:r>
              <w:rPr>
                <w:rFonts w:eastAsia="仿宋"/>
                <w:color w:val="000000"/>
                <w:szCs w:val="21"/>
              </w:rPr>
              <w:t>213.1/93.0*</w:t>
            </w:r>
          </w:p>
        </w:tc>
        <w:tc>
          <w:tcPr>
            <w:tcW w:w="1557" w:type="dxa"/>
            <w:shd w:val="clear" w:color="auto" w:fill="auto"/>
          </w:tcPr>
          <w:p w14:paraId="6E4B7580">
            <w:pPr>
              <w:pStyle w:val="181"/>
              <w:rPr>
                <w:rFonts w:hAnsi="宋体"/>
              </w:rPr>
            </w:pPr>
            <w:r>
              <w:rPr>
                <w:rFonts w:eastAsia="仿宋"/>
                <w:color w:val="000000"/>
                <w:szCs w:val="21"/>
              </w:rPr>
              <w:t>-26</w:t>
            </w:r>
          </w:p>
        </w:tc>
      </w:tr>
      <w:tr w14:paraId="13096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2734DB9F">
            <w:pPr>
              <w:pStyle w:val="181"/>
              <w:rPr>
                <w:rFonts w:hAnsi="宋体"/>
              </w:rPr>
            </w:pPr>
          </w:p>
        </w:tc>
        <w:tc>
          <w:tcPr>
            <w:tcW w:w="1555" w:type="dxa"/>
            <w:vMerge w:val="continue"/>
            <w:shd w:val="clear" w:color="auto" w:fill="auto"/>
            <w:vAlign w:val="center"/>
          </w:tcPr>
          <w:p w14:paraId="31DA1B7C">
            <w:pPr>
              <w:pStyle w:val="181"/>
              <w:rPr>
                <w:rFonts w:ascii="Times New Roman"/>
              </w:rPr>
            </w:pPr>
          </w:p>
        </w:tc>
        <w:tc>
          <w:tcPr>
            <w:tcW w:w="1555" w:type="dxa"/>
            <w:shd w:val="clear" w:color="auto" w:fill="auto"/>
          </w:tcPr>
          <w:p w14:paraId="6C3F001D">
            <w:pPr>
              <w:pStyle w:val="181"/>
              <w:rPr>
                <w:rFonts w:hAnsi="宋体"/>
              </w:rPr>
            </w:pPr>
            <w:r>
              <w:rPr>
                <w:rFonts w:eastAsia="仿宋"/>
                <w:color w:val="000000"/>
                <w:szCs w:val="21"/>
              </w:rPr>
              <w:t>213.1/65.1</w:t>
            </w:r>
          </w:p>
        </w:tc>
        <w:tc>
          <w:tcPr>
            <w:tcW w:w="1557" w:type="dxa"/>
            <w:shd w:val="clear" w:color="auto" w:fill="auto"/>
          </w:tcPr>
          <w:p w14:paraId="47F440FC">
            <w:pPr>
              <w:pStyle w:val="181"/>
              <w:rPr>
                <w:rFonts w:hAnsi="宋体"/>
              </w:rPr>
            </w:pPr>
            <w:r>
              <w:rPr>
                <w:rFonts w:eastAsia="仿宋"/>
                <w:color w:val="000000"/>
                <w:szCs w:val="21"/>
              </w:rPr>
              <w:t>-70</w:t>
            </w:r>
          </w:p>
        </w:tc>
      </w:tr>
      <w:tr w14:paraId="078B2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6A1B22CB">
            <w:pPr>
              <w:pStyle w:val="181"/>
              <w:rPr>
                <w:rFonts w:hAnsi="宋体"/>
              </w:rPr>
            </w:pPr>
            <w:r>
              <w:rPr>
                <w:rFonts w:hAnsi="宋体"/>
              </w:rPr>
              <w:t>4</w:t>
            </w:r>
          </w:p>
        </w:tc>
        <w:tc>
          <w:tcPr>
            <w:tcW w:w="1555" w:type="dxa"/>
            <w:vMerge w:val="restart"/>
            <w:shd w:val="clear" w:color="auto" w:fill="auto"/>
            <w:vAlign w:val="center"/>
          </w:tcPr>
          <w:p w14:paraId="2E12C7EF">
            <w:pPr>
              <w:pStyle w:val="181"/>
              <w:rPr>
                <w:rFonts w:ascii="Times New Roman"/>
              </w:rPr>
            </w:pPr>
            <w:r>
              <w:rPr>
                <w:rFonts w:ascii="Times New Roman"/>
              </w:rPr>
              <w:t>4F-3PBA</w:t>
            </w:r>
          </w:p>
        </w:tc>
        <w:tc>
          <w:tcPr>
            <w:tcW w:w="1555" w:type="dxa"/>
            <w:shd w:val="clear" w:color="auto" w:fill="auto"/>
          </w:tcPr>
          <w:p w14:paraId="384BE5D6">
            <w:pPr>
              <w:pStyle w:val="181"/>
              <w:rPr>
                <w:rFonts w:hAnsi="宋体"/>
              </w:rPr>
            </w:pPr>
            <w:r>
              <w:rPr>
                <w:rFonts w:eastAsia="仿宋"/>
                <w:color w:val="000000"/>
                <w:szCs w:val="21"/>
              </w:rPr>
              <w:t>231.1/93.1*</w:t>
            </w:r>
          </w:p>
        </w:tc>
        <w:tc>
          <w:tcPr>
            <w:tcW w:w="1557" w:type="dxa"/>
            <w:shd w:val="clear" w:color="auto" w:fill="auto"/>
          </w:tcPr>
          <w:p w14:paraId="52BD09C6">
            <w:pPr>
              <w:pStyle w:val="181"/>
              <w:rPr>
                <w:rFonts w:hAnsi="宋体"/>
              </w:rPr>
            </w:pPr>
            <w:r>
              <w:rPr>
                <w:rFonts w:eastAsia="仿宋"/>
                <w:color w:val="000000"/>
                <w:szCs w:val="21"/>
              </w:rPr>
              <w:t>-28</w:t>
            </w:r>
          </w:p>
        </w:tc>
      </w:tr>
      <w:tr w14:paraId="4656C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012F8F9F">
            <w:pPr>
              <w:pStyle w:val="181"/>
              <w:rPr>
                <w:rFonts w:hAnsi="宋体"/>
              </w:rPr>
            </w:pPr>
          </w:p>
        </w:tc>
        <w:tc>
          <w:tcPr>
            <w:tcW w:w="1555" w:type="dxa"/>
            <w:vMerge w:val="continue"/>
            <w:shd w:val="clear" w:color="auto" w:fill="auto"/>
            <w:vAlign w:val="center"/>
          </w:tcPr>
          <w:p w14:paraId="18A56DBA">
            <w:pPr>
              <w:pStyle w:val="181"/>
              <w:rPr>
                <w:rFonts w:ascii="Times New Roman"/>
              </w:rPr>
            </w:pPr>
          </w:p>
        </w:tc>
        <w:tc>
          <w:tcPr>
            <w:tcW w:w="1555" w:type="dxa"/>
            <w:shd w:val="clear" w:color="auto" w:fill="auto"/>
          </w:tcPr>
          <w:p w14:paraId="4F948787">
            <w:pPr>
              <w:pStyle w:val="181"/>
              <w:rPr>
                <w:rFonts w:hAnsi="宋体"/>
              </w:rPr>
            </w:pPr>
            <w:r>
              <w:rPr>
                <w:rFonts w:eastAsia="仿宋"/>
                <w:color w:val="000000"/>
                <w:szCs w:val="21"/>
              </w:rPr>
              <w:t>231.1/65.1</w:t>
            </w:r>
          </w:p>
        </w:tc>
        <w:tc>
          <w:tcPr>
            <w:tcW w:w="1557" w:type="dxa"/>
            <w:shd w:val="clear" w:color="auto" w:fill="auto"/>
          </w:tcPr>
          <w:p w14:paraId="10203115">
            <w:pPr>
              <w:pStyle w:val="181"/>
              <w:rPr>
                <w:rFonts w:hAnsi="宋体"/>
              </w:rPr>
            </w:pPr>
            <w:r>
              <w:rPr>
                <w:rFonts w:eastAsia="仿宋"/>
                <w:color w:val="000000"/>
                <w:szCs w:val="21"/>
              </w:rPr>
              <w:t>-75</w:t>
            </w:r>
          </w:p>
        </w:tc>
      </w:tr>
      <w:tr w14:paraId="2CAC5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0B09867F">
            <w:pPr>
              <w:pStyle w:val="181"/>
              <w:rPr>
                <w:rFonts w:hAnsi="宋体"/>
              </w:rPr>
            </w:pPr>
            <w:r>
              <w:rPr>
                <w:rFonts w:hAnsi="宋体"/>
              </w:rPr>
              <w:t>5</w:t>
            </w:r>
          </w:p>
        </w:tc>
        <w:tc>
          <w:tcPr>
            <w:tcW w:w="1555" w:type="dxa"/>
            <w:vMerge w:val="restart"/>
            <w:shd w:val="clear" w:color="auto" w:fill="auto"/>
            <w:vAlign w:val="center"/>
          </w:tcPr>
          <w:p w14:paraId="07797F7F">
            <w:pPr>
              <w:pStyle w:val="181"/>
              <w:rPr>
                <w:rFonts w:ascii="Times New Roman"/>
              </w:rPr>
            </w:pPr>
            <w:r>
              <w:rPr>
                <w:rFonts w:ascii="Times New Roman"/>
                <w:i/>
              </w:rPr>
              <w:t>cis</w:t>
            </w:r>
            <w:r>
              <w:rPr>
                <w:rFonts w:ascii="Times New Roman"/>
              </w:rPr>
              <w:t>-DCCA</w:t>
            </w:r>
          </w:p>
        </w:tc>
        <w:tc>
          <w:tcPr>
            <w:tcW w:w="1555" w:type="dxa"/>
            <w:shd w:val="clear" w:color="auto" w:fill="auto"/>
          </w:tcPr>
          <w:p w14:paraId="7C952A37">
            <w:pPr>
              <w:pStyle w:val="181"/>
              <w:rPr>
                <w:rFonts w:hAnsi="宋体"/>
              </w:rPr>
            </w:pPr>
            <w:r>
              <w:rPr>
                <w:rFonts w:eastAsia="仿宋"/>
                <w:color w:val="000000"/>
                <w:szCs w:val="21"/>
              </w:rPr>
              <w:t>206.9/35.1*</w:t>
            </w:r>
          </w:p>
        </w:tc>
        <w:tc>
          <w:tcPr>
            <w:tcW w:w="1557" w:type="dxa"/>
            <w:shd w:val="clear" w:color="auto" w:fill="auto"/>
          </w:tcPr>
          <w:p w14:paraId="01816EE1">
            <w:pPr>
              <w:pStyle w:val="181"/>
              <w:rPr>
                <w:rFonts w:hAnsi="宋体"/>
              </w:rPr>
            </w:pPr>
            <w:r>
              <w:rPr>
                <w:rFonts w:eastAsia="仿宋"/>
                <w:color w:val="000000"/>
                <w:szCs w:val="21"/>
              </w:rPr>
              <w:t>-35</w:t>
            </w:r>
          </w:p>
        </w:tc>
      </w:tr>
      <w:tr w14:paraId="63712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6ABA2124">
            <w:pPr>
              <w:pStyle w:val="181"/>
              <w:rPr>
                <w:rFonts w:hAnsi="宋体"/>
              </w:rPr>
            </w:pPr>
          </w:p>
        </w:tc>
        <w:tc>
          <w:tcPr>
            <w:tcW w:w="1555" w:type="dxa"/>
            <w:vMerge w:val="continue"/>
            <w:shd w:val="clear" w:color="auto" w:fill="auto"/>
            <w:vAlign w:val="center"/>
          </w:tcPr>
          <w:p w14:paraId="0196540C">
            <w:pPr>
              <w:pStyle w:val="181"/>
              <w:rPr>
                <w:rFonts w:ascii="Times New Roman"/>
              </w:rPr>
            </w:pPr>
          </w:p>
        </w:tc>
        <w:tc>
          <w:tcPr>
            <w:tcW w:w="1555" w:type="dxa"/>
            <w:shd w:val="clear" w:color="auto" w:fill="auto"/>
          </w:tcPr>
          <w:p w14:paraId="7EEC482D">
            <w:pPr>
              <w:pStyle w:val="181"/>
              <w:rPr>
                <w:rFonts w:hAnsi="宋体"/>
              </w:rPr>
            </w:pPr>
            <w:r>
              <w:rPr>
                <w:rFonts w:eastAsia="仿宋"/>
                <w:color w:val="000000"/>
                <w:szCs w:val="21"/>
              </w:rPr>
              <w:t>208.9/35.1</w:t>
            </w:r>
          </w:p>
        </w:tc>
        <w:tc>
          <w:tcPr>
            <w:tcW w:w="1557" w:type="dxa"/>
            <w:shd w:val="clear" w:color="auto" w:fill="auto"/>
          </w:tcPr>
          <w:p w14:paraId="4999EC18">
            <w:pPr>
              <w:pStyle w:val="181"/>
              <w:rPr>
                <w:rFonts w:hAnsi="宋体"/>
              </w:rPr>
            </w:pPr>
            <w:r>
              <w:rPr>
                <w:rFonts w:eastAsia="仿宋"/>
                <w:color w:val="000000"/>
                <w:szCs w:val="21"/>
              </w:rPr>
              <w:t>-35</w:t>
            </w:r>
          </w:p>
        </w:tc>
      </w:tr>
      <w:tr w14:paraId="2BDCA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06D97D41">
            <w:pPr>
              <w:pStyle w:val="181"/>
              <w:rPr>
                <w:rFonts w:hAnsi="宋体"/>
              </w:rPr>
            </w:pPr>
            <w:r>
              <w:rPr>
                <w:rFonts w:hAnsi="宋体"/>
              </w:rPr>
              <w:t>6</w:t>
            </w:r>
          </w:p>
        </w:tc>
        <w:tc>
          <w:tcPr>
            <w:tcW w:w="1555" w:type="dxa"/>
            <w:vMerge w:val="restart"/>
            <w:shd w:val="clear" w:color="auto" w:fill="auto"/>
            <w:vAlign w:val="center"/>
          </w:tcPr>
          <w:p w14:paraId="60A6D451">
            <w:pPr>
              <w:pStyle w:val="181"/>
              <w:rPr>
                <w:rFonts w:ascii="Times New Roman"/>
              </w:rPr>
            </w:pPr>
            <w:r>
              <w:rPr>
                <w:rFonts w:ascii="Times New Roman"/>
                <w:i/>
              </w:rPr>
              <w:t>trans</w:t>
            </w:r>
            <w:r>
              <w:rPr>
                <w:rFonts w:ascii="Times New Roman"/>
              </w:rPr>
              <w:t>-DCCA</w:t>
            </w:r>
          </w:p>
        </w:tc>
        <w:tc>
          <w:tcPr>
            <w:tcW w:w="1555" w:type="dxa"/>
            <w:shd w:val="clear" w:color="auto" w:fill="auto"/>
          </w:tcPr>
          <w:p w14:paraId="66D3EA59">
            <w:pPr>
              <w:pStyle w:val="181"/>
              <w:rPr>
                <w:rFonts w:hAnsi="宋体"/>
              </w:rPr>
            </w:pPr>
            <w:r>
              <w:rPr>
                <w:rFonts w:eastAsia="仿宋"/>
                <w:color w:val="000000"/>
                <w:szCs w:val="21"/>
              </w:rPr>
              <w:t>207.1/35.2*</w:t>
            </w:r>
          </w:p>
        </w:tc>
        <w:tc>
          <w:tcPr>
            <w:tcW w:w="1557" w:type="dxa"/>
            <w:shd w:val="clear" w:color="auto" w:fill="auto"/>
          </w:tcPr>
          <w:p w14:paraId="6AD2566F">
            <w:pPr>
              <w:pStyle w:val="181"/>
              <w:rPr>
                <w:rFonts w:hAnsi="宋体"/>
              </w:rPr>
            </w:pPr>
            <w:r>
              <w:rPr>
                <w:rFonts w:eastAsia="仿宋"/>
                <w:color w:val="000000"/>
                <w:szCs w:val="21"/>
              </w:rPr>
              <w:t>-40</w:t>
            </w:r>
          </w:p>
        </w:tc>
      </w:tr>
      <w:tr w14:paraId="1B1CE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4A0BF857">
            <w:pPr>
              <w:pStyle w:val="181"/>
              <w:rPr>
                <w:rFonts w:hAnsi="宋体"/>
              </w:rPr>
            </w:pPr>
          </w:p>
        </w:tc>
        <w:tc>
          <w:tcPr>
            <w:tcW w:w="1555" w:type="dxa"/>
            <w:vMerge w:val="continue"/>
            <w:shd w:val="clear" w:color="auto" w:fill="auto"/>
            <w:vAlign w:val="center"/>
          </w:tcPr>
          <w:p w14:paraId="4842FAFF">
            <w:pPr>
              <w:pStyle w:val="181"/>
              <w:rPr>
                <w:rFonts w:ascii="Times New Roman"/>
              </w:rPr>
            </w:pPr>
          </w:p>
        </w:tc>
        <w:tc>
          <w:tcPr>
            <w:tcW w:w="1555" w:type="dxa"/>
            <w:shd w:val="clear" w:color="auto" w:fill="auto"/>
          </w:tcPr>
          <w:p w14:paraId="4476A80A">
            <w:pPr>
              <w:pStyle w:val="181"/>
              <w:rPr>
                <w:rFonts w:hAnsi="宋体"/>
              </w:rPr>
            </w:pPr>
            <w:r>
              <w:rPr>
                <w:rFonts w:eastAsia="仿宋"/>
                <w:color w:val="000000"/>
                <w:szCs w:val="21"/>
              </w:rPr>
              <w:t>209.1/35.2</w:t>
            </w:r>
          </w:p>
        </w:tc>
        <w:tc>
          <w:tcPr>
            <w:tcW w:w="1557" w:type="dxa"/>
            <w:shd w:val="clear" w:color="auto" w:fill="auto"/>
          </w:tcPr>
          <w:p w14:paraId="1719539D">
            <w:pPr>
              <w:pStyle w:val="181"/>
              <w:rPr>
                <w:rFonts w:hAnsi="宋体"/>
              </w:rPr>
            </w:pPr>
            <w:r>
              <w:rPr>
                <w:rFonts w:eastAsia="仿宋"/>
                <w:color w:val="000000"/>
                <w:szCs w:val="21"/>
              </w:rPr>
              <w:t>-40</w:t>
            </w:r>
          </w:p>
        </w:tc>
      </w:tr>
      <w:tr w14:paraId="597F0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3E67B574">
            <w:pPr>
              <w:pStyle w:val="181"/>
              <w:rPr>
                <w:rFonts w:hAnsi="宋体"/>
              </w:rPr>
            </w:pPr>
            <w:r>
              <w:rPr>
                <w:rFonts w:hAnsi="宋体"/>
              </w:rPr>
              <w:t>7</w:t>
            </w:r>
          </w:p>
        </w:tc>
        <w:tc>
          <w:tcPr>
            <w:tcW w:w="1555" w:type="dxa"/>
            <w:vMerge w:val="restart"/>
            <w:shd w:val="clear" w:color="auto" w:fill="auto"/>
            <w:vAlign w:val="center"/>
          </w:tcPr>
          <w:p w14:paraId="2BA8EE38">
            <w:pPr>
              <w:pStyle w:val="181"/>
              <w:rPr>
                <w:rFonts w:ascii="Times New Roman"/>
              </w:rPr>
            </w:pPr>
            <w:r>
              <w:rPr>
                <w:rFonts w:ascii="Times New Roman"/>
              </w:rPr>
              <w:t>2,4-D</w:t>
            </w:r>
          </w:p>
        </w:tc>
        <w:tc>
          <w:tcPr>
            <w:tcW w:w="1555" w:type="dxa"/>
            <w:shd w:val="clear" w:color="auto" w:fill="auto"/>
          </w:tcPr>
          <w:p w14:paraId="2A5E007D">
            <w:pPr>
              <w:pStyle w:val="181"/>
              <w:rPr>
                <w:rFonts w:hAnsi="宋体"/>
              </w:rPr>
            </w:pPr>
            <w:r>
              <w:rPr>
                <w:rFonts w:eastAsia="仿宋"/>
                <w:color w:val="000000"/>
                <w:szCs w:val="21"/>
              </w:rPr>
              <w:t>219.0/161.1*</w:t>
            </w:r>
          </w:p>
        </w:tc>
        <w:tc>
          <w:tcPr>
            <w:tcW w:w="1557" w:type="dxa"/>
            <w:shd w:val="clear" w:color="auto" w:fill="auto"/>
          </w:tcPr>
          <w:p w14:paraId="73458C8E">
            <w:pPr>
              <w:pStyle w:val="181"/>
              <w:rPr>
                <w:rFonts w:hAnsi="宋体"/>
              </w:rPr>
            </w:pPr>
            <w:r>
              <w:rPr>
                <w:rFonts w:eastAsia="仿宋"/>
                <w:color w:val="000000"/>
                <w:szCs w:val="21"/>
              </w:rPr>
              <w:t>-18</w:t>
            </w:r>
          </w:p>
        </w:tc>
      </w:tr>
      <w:tr w14:paraId="3E9DB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78548E11">
            <w:pPr>
              <w:pStyle w:val="181"/>
              <w:rPr>
                <w:rFonts w:hAnsi="宋体"/>
              </w:rPr>
            </w:pPr>
          </w:p>
        </w:tc>
        <w:tc>
          <w:tcPr>
            <w:tcW w:w="1555" w:type="dxa"/>
            <w:vMerge w:val="continue"/>
            <w:shd w:val="clear" w:color="auto" w:fill="auto"/>
            <w:vAlign w:val="center"/>
          </w:tcPr>
          <w:p w14:paraId="5EDB24ED">
            <w:pPr>
              <w:pStyle w:val="181"/>
              <w:rPr>
                <w:rFonts w:ascii="Times New Roman"/>
              </w:rPr>
            </w:pPr>
          </w:p>
        </w:tc>
        <w:tc>
          <w:tcPr>
            <w:tcW w:w="1555" w:type="dxa"/>
            <w:shd w:val="clear" w:color="auto" w:fill="auto"/>
          </w:tcPr>
          <w:p w14:paraId="49001830">
            <w:pPr>
              <w:pStyle w:val="181"/>
              <w:rPr>
                <w:rFonts w:hAnsi="宋体"/>
              </w:rPr>
            </w:pPr>
            <w:r>
              <w:rPr>
                <w:rFonts w:eastAsia="仿宋"/>
                <w:color w:val="000000"/>
                <w:szCs w:val="21"/>
              </w:rPr>
              <w:t>219.0/125.0</w:t>
            </w:r>
          </w:p>
        </w:tc>
        <w:tc>
          <w:tcPr>
            <w:tcW w:w="1557" w:type="dxa"/>
            <w:shd w:val="clear" w:color="auto" w:fill="auto"/>
          </w:tcPr>
          <w:p w14:paraId="23ACC048">
            <w:pPr>
              <w:pStyle w:val="181"/>
              <w:rPr>
                <w:rFonts w:hAnsi="宋体"/>
              </w:rPr>
            </w:pPr>
            <w:r>
              <w:rPr>
                <w:rFonts w:eastAsia="仿宋"/>
                <w:color w:val="000000"/>
                <w:szCs w:val="21"/>
              </w:rPr>
              <w:t>-36</w:t>
            </w:r>
          </w:p>
        </w:tc>
      </w:tr>
      <w:tr w14:paraId="41F98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44B4FBE0">
            <w:pPr>
              <w:pStyle w:val="181"/>
              <w:rPr>
                <w:rFonts w:hAnsi="宋体"/>
              </w:rPr>
            </w:pPr>
            <w:r>
              <w:rPr>
                <w:rFonts w:hAnsi="宋体"/>
              </w:rPr>
              <w:t>8</w:t>
            </w:r>
          </w:p>
        </w:tc>
        <w:tc>
          <w:tcPr>
            <w:tcW w:w="1555" w:type="dxa"/>
            <w:vMerge w:val="restart"/>
            <w:shd w:val="clear" w:color="auto" w:fill="auto"/>
            <w:vAlign w:val="center"/>
          </w:tcPr>
          <w:p w14:paraId="6E2FA5E6">
            <w:pPr>
              <w:pStyle w:val="181"/>
              <w:rPr>
                <w:rFonts w:ascii="Times New Roman"/>
              </w:rPr>
            </w:pPr>
            <w:r>
              <w:rPr>
                <w:rFonts w:ascii="Times New Roman" w:eastAsia="仿宋"/>
                <w:color w:val="000000"/>
                <w:szCs w:val="21"/>
              </w:rPr>
              <w:t>2,4,5-T</w:t>
            </w:r>
          </w:p>
        </w:tc>
        <w:tc>
          <w:tcPr>
            <w:tcW w:w="1555" w:type="dxa"/>
            <w:shd w:val="clear" w:color="auto" w:fill="auto"/>
          </w:tcPr>
          <w:p w14:paraId="5300C426">
            <w:pPr>
              <w:pStyle w:val="181"/>
              <w:rPr>
                <w:rFonts w:hAnsi="宋体"/>
              </w:rPr>
            </w:pPr>
            <w:r>
              <w:rPr>
                <w:rFonts w:eastAsia="仿宋"/>
                <w:color w:val="000000"/>
                <w:szCs w:val="21"/>
              </w:rPr>
              <w:t>253.1/195.0*</w:t>
            </w:r>
          </w:p>
        </w:tc>
        <w:tc>
          <w:tcPr>
            <w:tcW w:w="1557" w:type="dxa"/>
            <w:shd w:val="clear" w:color="auto" w:fill="auto"/>
          </w:tcPr>
          <w:p w14:paraId="5F71D60C">
            <w:pPr>
              <w:pStyle w:val="181"/>
              <w:rPr>
                <w:rFonts w:hAnsi="宋体"/>
              </w:rPr>
            </w:pPr>
            <w:r>
              <w:rPr>
                <w:rFonts w:eastAsia="仿宋"/>
                <w:color w:val="000000"/>
                <w:szCs w:val="21"/>
              </w:rPr>
              <w:t>-19</w:t>
            </w:r>
          </w:p>
        </w:tc>
      </w:tr>
      <w:tr w14:paraId="6901B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1C3F8E74">
            <w:pPr>
              <w:pStyle w:val="181"/>
              <w:rPr>
                <w:rFonts w:hAnsi="宋体"/>
              </w:rPr>
            </w:pPr>
          </w:p>
        </w:tc>
        <w:tc>
          <w:tcPr>
            <w:tcW w:w="1555" w:type="dxa"/>
            <w:vMerge w:val="continue"/>
            <w:shd w:val="clear" w:color="auto" w:fill="auto"/>
            <w:vAlign w:val="center"/>
          </w:tcPr>
          <w:p w14:paraId="4D48B2BC">
            <w:pPr>
              <w:pStyle w:val="181"/>
              <w:rPr>
                <w:rFonts w:ascii="Times New Roman"/>
              </w:rPr>
            </w:pPr>
          </w:p>
        </w:tc>
        <w:tc>
          <w:tcPr>
            <w:tcW w:w="1555" w:type="dxa"/>
            <w:shd w:val="clear" w:color="auto" w:fill="auto"/>
          </w:tcPr>
          <w:p w14:paraId="379A3D8B">
            <w:pPr>
              <w:pStyle w:val="181"/>
              <w:rPr>
                <w:rFonts w:hAnsi="宋体"/>
              </w:rPr>
            </w:pPr>
            <w:r>
              <w:rPr>
                <w:rFonts w:eastAsia="仿宋"/>
                <w:color w:val="000000"/>
                <w:szCs w:val="21"/>
              </w:rPr>
              <w:t>253.1/159.0</w:t>
            </w:r>
          </w:p>
        </w:tc>
        <w:tc>
          <w:tcPr>
            <w:tcW w:w="1557" w:type="dxa"/>
            <w:shd w:val="clear" w:color="auto" w:fill="auto"/>
          </w:tcPr>
          <w:p w14:paraId="3337C8F3">
            <w:pPr>
              <w:pStyle w:val="181"/>
              <w:rPr>
                <w:rFonts w:hAnsi="宋体"/>
              </w:rPr>
            </w:pPr>
            <w:r>
              <w:rPr>
                <w:rFonts w:eastAsia="仿宋"/>
                <w:color w:val="000000"/>
                <w:szCs w:val="21"/>
              </w:rPr>
              <w:t>-39</w:t>
            </w:r>
          </w:p>
        </w:tc>
      </w:tr>
      <w:tr w14:paraId="46F5C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32C3EF72">
            <w:pPr>
              <w:pStyle w:val="181"/>
              <w:rPr>
                <w:rFonts w:hAnsi="宋体"/>
              </w:rPr>
            </w:pPr>
            <w:r>
              <w:rPr>
                <w:rFonts w:hAnsi="宋体"/>
              </w:rPr>
              <w:t>9</w:t>
            </w:r>
          </w:p>
        </w:tc>
        <w:tc>
          <w:tcPr>
            <w:tcW w:w="1555" w:type="dxa"/>
            <w:shd w:val="clear" w:color="auto" w:fill="auto"/>
            <w:vAlign w:val="center"/>
          </w:tcPr>
          <w:p w14:paraId="21C5B691">
            <w:pPr>
              <w:pStyle w:val="181"/>
              <w:rPr>
                <w:rFonts w:ascii="Times New Roman"/>
              </w:rPr>
            </w:pPr>
            <w:r>
              <w:rPr>
                <w:rFonts w:ascii="Times New Roman"/>
                <w:vertAlign w:val="superscript"/>
              </w:rPr>
              <w:t>13</w:t>
            </w:r>
            <w:r>
              <w:rPr>
                <w:rFonts w:ascii="Times New Roman"/>
              </w:rPr>
              <w:t>C</w:t>
            </w:r>
            <w:r>
              <w:rPr>
                <w:rFonts w:ascii="Times New Roman"/>
                <w:vertAlign w:val="subscript"/>
              </w:rPr>
              <w:t>6</w:t>
            </w:r>
            <w:r>
              <w:rPr>
                <w:rFonts w:ascii="Times New Roman"/>
              </w:rPr>
              <w:t>-PNP</w:t>
            </w:r>
          </w:p>
        </w:tc>
        <w:tc>
          <w:tcPr>
            <w:tcW w:w="1555" w:type="dxa"/>
            <w:shd w:val="clear" w:color="auto" w:fill="auto"/>
            <w:vAlign w:val="center"/>
          </w:tcPr>
          <w:p w14:paraId="5B1A87F7">
            <w:pPr>
              <w:pStyle w:val="181"/>
              <w:rPr>
                <w:rFonts w:hAnsi="宋体"/>
              </w:rPr>
            </w:pPr>
            <w:r>
              <w:rPr>
                <w:rFonts w:eastAsia="仿宋"/>
                <w:color w:val="000000"/>
                <w:szCs w:val="21"/>
              </w:rPr>
              <w:t>144.1/114.1</w:t>
            </w:r>
          </w:p>
        </w:tc>
        <w:tc>
          <w:tcPr>
            <w:tcW w:w="1557" w:type="dxa"/>
            <w:shd w:val="clear" w:color="auto" w:fill="auto"/>
            <w:vAlign w:val="center"/>
          </w:tcPr>
          <w:p w14:paraId="23DEEF3D">
            <w:pPr>
              <w:pStyle w:val="181"/>
              <w:rPr>
                <w:rFonts w:hAnsi="宋体"/>
              </w:rPr>
            </w:pPr>
            <w:r>
              <w:rPr>
                <w:rFonts w:eastAsia="仿宋"/>
                <w:color w:val="000000"/>
                <w:szCs w:val="21"/>
              </w:rPr>
              <w:t>-10</w:t>
            </w:r>
          </w:p>
        </w:tc>
      </w:tr>
      <w:tr w14:paraId="7488F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5D17B87F">
            <w:pPr>
              <w:pStyle w:val="181"/>
              <w:rPr>
                <w:rFonts w:hAnsi="宋体"/>
              </w:rPr>
            </w:pPr>
            <w:r>
              <w:rPr>
                <w:rFonts w:hAnsi="宋体"/>
              </w:rPr>
              <w:t>10</w:t>
            </w:r>
          </w:p>
        </w:tc>
        <w:tc>
          <w:tcPr>
            <w:tcW w:w="1555" w:type="dxa"/>
            <w:shd w:val="clear" w:color="auto" w:fill="auto"/>
            <w:vAlign w:val="center"/>
          </w:tcPr>
          <w:p w14:paraId="720DCBBB">
            <w:pPr>
              <w:pStyle w:val="181"/>
              <w:rPr>
                <w:rFonts w:ascii="Times New Roman"/>
              </w:rPr>
            </w:pPr>
            <w:r>
              <w:rPr>
                <w:rFonts w:ascii="Times New Roman"/>
                <w:vertAlign w:val="superscript"/>
              </w:rPr>
              <w:t>13</w:t>
            </w:r>
            <w:r>
              <w:rPr>
                <w:rFonts w:ascii="Times New Roman"/>
              </w:rPr>
              <w:t>C</w:t>
            </w:r>
            <w:r>
              <w:rPr>
                <w:rFonts w:ascii="Times New Roman"/>
                <w:vertAlign w:val="subscript"/>
              </w:rPr>
              <w:t>3</w:t>
            </w:r>
            <w:r>
              <w:rPr>
                <w:rFonts w:ascii="Times New Roman"/>
              </w:rPr>
              <w:t>-TCPY</w:t>
            </w:r>
          </w:p>
        </w:tc>
        <w:tc>
          <w:tcPr>
            <w:tcW w:w="1555" w:type="dxa"/>
            <w:shd w:val="clear" w:color="auto" w:fill="auto"/>
            <w:vAlign w:val="center"/>
          </w:tcPr>
          <w:p w14:paraId="3F9F2C53">
            <w:pPr>
              <w:pStyle w:val="181"/>
              <w:rPr>
                <w:rFonts w:hAnsi="宋体"/>
              </w:rPr>
            </w:pPr>
            <w:r>
              <w:rPr>
                <w:rFonts w:eastAsia="仿宋"/>
                <w:color w:val="000000"/>
                <w:szCs w:val="21"/>
              </w:rPr>
              <w:t>201.1/35.1</w:t>
            </w:r>
          </w:p>
        </w:tc>
        <w:tc>
          <w:tcPr>
            <w:tcW w:w="1557" w:type="dxa"/>
            <w:shd w:val="clear" w:color="auto" w:fill="auto"/>
            <w:vAlign w:val="center"/>
          </w:tcPr>
          <w:p w14:paraId="58744D68">
            <w:pPr>
              <w:pStyle w:val="181"/>
              <w:rPr>
                <w:rFonts w:hAnsi="宋体"/>
              </w:rPr>
            </w:pPr>
            <w:r>
              <w:rPr>
                <w:rFonts w:eastAsia="仿宋"/>
                <w:color w:val="000000"/>
                <w:szCs w:val="21"/>
              </w:rPr>
              <w:t>-40</w:t>
            </w:r>
          </w:p>
        </w:tc>
      </w:tr>
      <w:tr w14:paraId="2AC7E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45FE0DA3">
            <w:pPr>
              <w:pStyle w:val="181"/>
              <w:rPr>
                <w:rFonts w:hAnsi="宋体"/>
              </w:rPr>
            </w:pPr>
            <w:r>
              <w:rPr>
                <w:rFonts w:hAnsi="宋体"/>
              </w:rPr>
              <w:t>11</w:t>
            </w:r>
          </w:p>
        </w:tc>
        <w:tc>
          <w:tcPr>
            <w:tcW w:w="1555" w:type="dxa"/>
            <w:shd w:val="clear" w:color="auto" w:fill="auto"/>
            <w:vAlign w:val="center"/>
          </w:tcPr>
          <w:p w14:paraId="3E5DFA36">
            <w:pPr>
              <w:pStyle w:val="181"/>
              <w:rPr>
                <w:rFonts w:ascii="Times New Roman"/>
              </w:rPr>
            </w:pPr>
            <w:r>
              <w:rPr>
                <w:rFonts w:ascii="Times New Roman"/>
                <w:vertAlign w:val="superscript"/>
              </w:rPr>
              <w:t>13</w:t>
            </w:r>
            <w:r>
              <w:rPr>
                <w:rFonts w:ascii="Times New Roman"/>
              </w:rPr>
              <w:t>C</w:t>
            </w:r>
            <w:r>
              <w:rPr>
                <w:rFonts w:ascii="Times New Roman"/>
                <w:vertAlign w:val="subscript"/>
              </w:rPr>
              <w:t>6</w:t>
            </w:r>
            <w:r>
              <w:rPr>
                <w:rFonts w:ascii="Times New Roman"/>
              </w:rPr>
              <w:t>-3-PBA</w:t>
            </w:r>
          </w:p>
        </w:tc>
        <w:tc>
          <w:tcPr>
            <w:tcW w:w="1555" w:type="dxa"/>
            <w:shd w:val="clear" w:color="auto" w:fill="auto"/>
            <w:vAlign w:val="center"/>
          </w:tcPr>
          <w:p w14:paraId="6AAAAA64">
            <w:pPr>
              <w:pStyle w:val="181"/>
              <w:rPr>
                <w:rFonts w:hAnsi="宋体"/>
              </w:rPr>
            </w:pPr>
            <w:r>
              <w:rPr>
                <w:rFonts w:eastAsia="仿宋"/>
                <w:color w:val="000000"/>
                <w:szCs w:val="21"/>
              </w:rPr>
              <w:t>219.1/99.1</w:t>
            </w:r>
          </w:p>
        </w:tc>
        <w:tc>
          <w:tcPr>
            <w:tcW w:w="1557" w:type="dxa"/>
            <w:shd w:val="clear" w:color="auto" w:fill="auto"/>
            <w:vAlign w:val="center"/>
          </w:tcPr>
          <w:p w14:paraId="3057BC0F">
            <w:pPr>
              <w:pStyle w:val="181"/>
              <w:rPr>
                <w:rFonts w:hAnsi="宋体"/>
              </w:rPr>
            </w:pPr>
            <w:r>
              <w:rPr>
                <w:rFonts w:eastAsia="仿宋"/>
                <w:color w:val="000000"/>
                <w:szCs w:val="21"/>
              </w:rPr>
              <w:t>-27</w:t>
            </w:r>
          </w:p>
        </w:tc>
      </w:tr>
      <w:tr w14:paraId="2099C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51FFDD90">
            <w:pPr>
              <w:pStyle w:val="181"/>
              <w:rPr>
                <w:rFonts w:hAnsi="宋体"/>
              </w:rPr>
            </w:pPr>
            <w:r>
              <w:rPr>
                <w:rFonts w:hAnsi="宋体"/>
              </w:rPr>
              <w:t>12</w:t>
            </w:r>
          </w:p>
        </w:tc>
        <w:tc>
          <w:tcPr>
            <w:tcW w:w="1555" w:type="dxa"/>
            <w:shd w:val="clear" w:color="auto" w:fill="auto"/>
            <w:vAlign w:val="center"/>
          </w:tcPr>
          <w:p w14:paraId="5FE3D08D">
            <w:pPr>
              <w:pStyle w:val="181"/>
              <w:rPr>
                <w:rFonts w:ascii="Times New Roman"/>
              </w:rPr>
            </w:pPr>
            <w:r>
              <w:rPr>
                <w:rFonts w:ascii="Times New Roman"/>
                <w:vertAlign w:val="superscript"/>
              </w:rPr>
              <w:t>13</w:t>
            </w:r>
            <w:r>
              <w:rPr>
                <w:rFonts w:ascii="Times New Roman"/>
              </w:rPr>
              <w:t>C</w:t>
            </w:r>
            <w:r>
              <w:rPr>
                <w:rFonts w:ascii="Times New Roman"/>
                <w:vertAlign w:val="subscript"/>
              </w:rPr>
              <w:t>6</w:t>
            </w:r>
            <w:r>
              <w:rPr>
                <w:rFonts w:ascii="Times New Roman"/>
              </w:rPr>
              <w:t>-4F-3PBA</w:t>
            </w:r>
          </w:p>
        </w:tc>
        <w:tc>
          <w:tcPr>
            <w:tcW w:w="1555" w:type="dxa"/>
            <w:shd w:val="clear" w:color="auto" w:fill="auto"/>
            <w:vAlign w:val="center"/>
          </w:tcPr>
          <w:p w14:paraId="2E2E5E6E">
            <w:pPr>
              <w:pStyle w:val="181"/>
              <w:rPr>
                <w:rFonts w:hAnsi="宋体"/>
              </w:rPr>
            </w:pPr>
            <w:r>
              <w:rPr>
                <w:rFonts w:eastAsia="仿宋"/>
                <w:color w:val="000000"/>
                <w:szCs w:val="21"/>
              </w:rPr>
              <w:t>236.9/99.1</w:t>
            </w:r>
          </w:p>
        </w:tc>
        <w:tc>
          <w:tcPr>
            <w:tcW w:w="1557" w:type="dxa"/>
            <w:shd w:val="clear" w:color="auto" w:fill="auto"/>
            <w:vAlign w:val="center"/>
          </w:tcPr>
          <w:p w14:paraId="43E97C1A">
            <w:pPr>
              <w:pStyle w:val="181"/>
              <w:rPr>
                <w:rFonts w:hAnsi="宋体"/>
              </w:rPr>
            </w:pPr>
            <w:r>
              <w:rPr>
                <w:rFonts w:eastAsia="仿宋"/>
                <w:color w:val="000000"/>
                <w:szCs w:val="21"/>
              </w:rPr>
              <w:t>-30</w:t>
            </w:r>
          </w:p>
        </w:tc>
      </w:tr>
      <w:tr w14:paraId="30414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459D0F7D">
            <w:pPr>
              <w:pStyle w:val="181"/>
              <w:rPr>
                <w:rFonts w:hAnsi="宋体"/>
              </w:rPr>
            </w:pPr>
            <w:r>
              <w:rPr>
                <w:rFonts w:hAnsi="宋体"/>
              </w:rPr>
              <w:t>13</w:t>
            </w:r>
          </w:p>
        </w:tc>
        <w:tc>
          <w:tcPr>
            <w:tcW w:w="1555" w:type="dxa"/>
            <w:shd w:val="clear" w:color="auto" w:fill="auto"/>
            <w:vAlign w:val="center"/>
          </w:tcPr>
          <w:p w14:paraId="35681969">
            <w:pPr>
              <w:pStyle w:val="181"/>
              <w:rPr>
                <w:rFonts w:ascii="Times New Roman"/>
              </w:rPr>
            </w:pPr>
            <w:r>
              <w:rPr>
                <w:rFonts w:ascii="Times New Roman"/>
                <w:vertAlign w:val="superscript"/>
              </w:rPr>
              <w:t>13</w:t>
            </w:r>
            <w:r>
              <w:rPr>
                <w:rFonts w:ascii="Times New Roman"/>
              </w:rPr>
              <w:t>C</w:t>
            </w:r>
            <w:r>
              <w:rPr>
                <w:rFonts w:ascii="Times New Roman"/>
                <w:vertAlign w:val="subscript"/>
              </w:rPr>
              <w:t>2</w:t>
            </w:r>
            <w:r>
              <w:rPr>
                <w:rFonts w:ascii="Times New Roman"/>
              </w:rPr>
              <w:t>-D1-</w:t>
            </w:r>
            <w:r>
              <w:rPr>
                <w:rFonts w:ascii="Times New Roman"/>
                <w:i/>
              </w:rPr>
              <w:t>cis</w:t>
            </w:r>
            <w:r>
              <w:rPr>
                <w:rFonts w:ascii="Times New Roman"/>
              </w:rPr>
              <w:t>-DCCA</w:t>
            </w:r>
          </w:p>
        </w:tc>
        <w:tc>
          <w:tcPr>
            <w:tcW w:w="1555" w:type="dxa"/>
            <w:shd w:val="clear" w:color="auto" w:fill="auto"/>
            <w:vAlign w:val="center"/>
          </w:tcPr>
          <w:p w14:paraId="1F570017">
            <w:pPr>
              <w:pStyle w:val="181"/>
              <w:rPr>
                <w:rFonts w:hAnsi="宋体"/>
              </w:rPr>
            </w:pPr>
            <w:r>
              <w:rPr>
                <w:rFonts w:eastAsia="仿宋"/>
                <w:color w:val="000000"/>
                <w:szCs w:val="21"/>
              </w:rPr>
              <w:t>210.2/35.1</w:t>
            </w:r>
          </w:p>
        </w:tc>
        <w:tc>
          <w:tcPr>
            <w:tcW w:w="1557" w:type="dxa"/>
            <w:shd w:val="clear" w:color="auto" w:fill="auto"/>
            <w:vAlign w:val="center"/>
          </w:tcPr>
          <w:p w14:paraId="67AB236E">
            <w:pPr>
              <w:pStyle w:val="181"/>
              <w:rPr>
                <w:rFonts w:hAnsi="宋体"/>
              </w:rPr>
            </w:pPr>
            <w:r>
              <w:rPr>
                <w:rFonts w:eastAsia="仿宋"/>
                <w:color w:val="000000"/>
                <w:szCs w:val="21"/>
              </w:rPr>
              <w:t>-30</w:t>
            </w:r>
          </w:p>
        </w:tc>
      </w:tr>
      <w:tr w14:paraId="5C93B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53185A45">
            <w:pPr>
              <w:pStyle w:val="181"/>
              <w:rPr>
                <w:rFonts w:hAnsi="宋体"/>
              </w:rPr>
            </w:pPr>
            <w:r>
              <w:rPr>
                <w:rFonts w:hAnsi="宋体"/>
              </w:rPr>
              <w:t>14</w:t>
            </w:r>
          </w:p>
        </w:tc>
        <w:tc>
          <w:tcPr>
            <w:tcW w:w="1555" w:type="dxa"/>
            <w:shd w:val="clear" w:color="auto" w:fill="auto"/>
            <w:vAlign w:val="center"/>
          </w:tcPr>
          <w:p w14:paraId="684BF8C8">
            <w:pPr>
              <w:pStyle w:val="181"/>
              <w:rPr>
                <w:rFonts w:ascii="Times New Roman"/>
              </w:rPr>
            </w:pPr>
            <w:r>
              <w:rPr>
                <w:rFonts w:ascii="Times New Roman"/>
                <w:vertAlign w:val="superscript"/>
              </w:rPr>
              <w:t>13</w:t>
            </w:r>
            <w:r>
              <w:rPr>
                <w:rFonts w:ascii="Times New Roman"/>
              </w:rPr>
              <w:t>C</w:t>
            </w:r>
            <w:r>
              <w:rPr>
                <w:rFonts w:ascii="Times New Roman"/>
                <w:vertAlign w:val="subscript"/>
              </w:rPr>
              <w:t>2</w:t>
            </w:r>
            <w:r>
              <w:rPr>
                <w:rFonts w:ascii="Times New Roman"/>
              </w:rPr>
              <w:t>-D1-</w:t>
            </w:r>
            <w:r>
              <w:rPr>
                <w:rFonts w:ascii="Times New Roman"/>
                <w:i/>
              </w:rPr>
              <w:t>trans</w:t>
            </w:r>
            <w:r>
              <w:rPr>
                <w:rFonts w:ascii="Times New Roman"/>
              </w:rPr>
              <w:t>-DCCA</w:t>
            </w:r>
          </w:p>
        </w:tc>
        <w:tc>
          <w:tcPr>
            <w:tcW w:w="1555" w:type="dxa"/>
            <w:shd w:val="clear" w:color="auto" w:fill="auto"/>
            <w:vAlign w:val="center"/>
          </w:tcPr>
          <w:p w14:paraId="5B57C51A">
            <w:pPr>
              <w:pStyle w:val="181"/>
              <w:rPr>
                <w:rFonts w:hAnsi="宋体"/>
              </w:rPr>
            </w:pPr>
            <w:r>
              <w:rPr>
                <w:rFonts w:eastAsia="仿宋"/>
                <w:color w:val="000000"/>
                <w:szCs w:val="21"/>
              </w:rPr>
              <w:t>210.1/35.1</w:t>
            </w:r>
          </w:p>
        </w:tc>
        <w:tc>
          <w:tcPr>
            <w:tcW w:w="1557" w:type="dxa"/>
            <w:shd w:val="clear" w:color="auto" w:fill="auto"/>
            <w:vAlign w:val="center"/>
          </w:tcPr>
          <w:p w14:paraId="51316557">
            <w:pPr>
              <w:pStyle w:val="181"/>
              <w:rPr>
                <w:rFonts w:hAnsi="宋体"/>
              </w:rPr>
            </w:pPr>
            <w:r>
              <w:rPr>
                <w:rFonts w:eastAsia="仿宋"/>
                <w:color w:val="000000"/>
                <w:szCs w:val="21"/>
              </w:rPr>
              <w:t>-38</w:t>
            </w:r>
          </w:p>
        </w:tc>
      </w:tr>
      <w:tr w14:paraId="582DD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29CBDE28">
            <w:pPr>
              <w:pStyle w:val="181"/>
              <w:rPr>
                <w:rFonts w:hAnsi="宋体"/>
              </w:rPr>
            </w:pPr>
            <w:r>
              <w:rPr>
                <w:rFonts w:hAnsi="宋体"/>
              </w:rPr>
              <w:t>15</w:t>
            </w:r>
          </w:p>
        </w:tc>
        <w:tc>
          <w:tcPr>
            <w:tcW w:w="1555" w:type="dxa"/>
            <w:shd w:val="clear" w:color="auto" w:fill="auto"/>
            <w:vAlign w:val="center"/>
          </w:tcPr>
          <w:p w14:paraId="0D165FBA">
            <w:pPr>
              <w:pStyle w:val="181"/>
              <w:rPr>
                <w:rFonts w:ascii="Times New Roman"/>
              </w:rPr>
            </w:pPr>
            <w:r>
              <w:rPr>
                <w:rFonts w:ascii="Times New Roman"/>
                <w:vertAlign w:val="superscript"/>
              </w:rPr>
              <w:t>13</w:t>
            </w:r>
            <w:r>
              <w:rPr>
                <w:rFonts w:ascii="Times New Roman"/>
              </w:rPr>
              <w:t>C</w:t>
            </w:r>
            <w:r>
              <w:rPr>
                <w:rFonts w:ascii="Times New Roman"/>
                <w:vertAlign w:val="subscript"/>
              </w:rPr>
              <w:t>6</w:t>
            </w:r>
            <w:r>
              <w:rPr>
                <w:rFonts w:ascii="Times New Roman"/>
              </w:rPr>
              <w:t>-2,4-D</w:t>
            </w:r>
          </w:p>
        </w:tc>
        <w:tc>
          <w:tcPr>
            <w:tcW w:w="1555" w:type="dxa"/>
            <w:shd w:val="clear" w:color="auto" w:fill="auto"/>
            <w:vAlign w:val="center"/>
          </w:tcPr>
          <w:p w14:paraId="2D2BBB2F">
            <w:pPr>
              <w:pStyle w:val="181"/>
              <w:rPr>
                <w:rFonts w:hAnsi="宋体"/>
              </w:rPr>
            </w:pPr>
            <w:r>
              <w:rPr>
                <w:rFonts w:eastAsia="仿宋"/>
                <w:color w:val="000000"/>
                <w:szCs w:val="21"/>
              </w:rPr>
              <w:t>224.8/167.0</w:t>
            </w:r>
          </w:p>
        </w:tc>
        <w:tc>
          <w:tcPr>
            <w:tcW w:w="1557" w:type="dxa"/>
            <w:shd w:val="clear" w:color="auto" w:fill="auto"/>
            <w:vAlign w:val="center"/>
          </w:tcPr>
          <w:p w14:paraId="01B8C887">
            <w:pPr>
              <w:pStyle w:val="181"/>
              <w:rPr>
                <w:rFonts w:hAnsi="宋体"/>
              </w:rPr>
            </w:pPr>
            <w:r>
              <w:rPr>
                <w:rFonts w:eastAsia="仿宋"/>
                <w:color w:val="000000"/>
                <w:szCs w:val="21"/>
              </w:rPr>
              <w:t>-17</w:t>
            </w:r>
          </w:p>
        </w:tc>
      </w:tr>
      <w:tr w14:paraId="44645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70E6A75A">
            <w:pPr>
              <w:pStyle w:val="181"/>
              <w:rPr>
                <w:rFonts w:hAnsi="宋体"/>
              </w:rPr>
            </w:pPr>
            <w:r>
              <w:rPr>
                <w:rFonts w:hAnsi="宋体"/>
              </w:rPr>
              <w:t>16</w:t>
            </w:r>
          </w:p>
        </w:tc>
        <w:tc>
          <w:tcPr>
            <w:tcW w:w="1555" w:type="dxa"/>
            <w:shd w:val="clear" w:color="auto" w:fill="auto"/>
            <w:vAlign w:val="center"/>
          </w:tcPr>
          <w:p w14:paraId="5BAF0EF2">
            <w:pPr>
              <w:pStyle w:val="181"/>
              <w:rPr>
                <w:rFonts w:ascii="Times New Roman"/>
              </w:rPr>
            </w:pPr>
            <w:r>
              <w:rPr>
                <w:rFonts w:ascii="Times New Roman"/>
                <w:vertAlign w:val="superscript"/>
              </w:rPr>
              <w:t>13</w:t>
            </w:r>
            <w:r>
              <w:rPr>
                <w:rFonts w:ascii="Times New Roman"/>
              </w:rPr>
              <w:t>C</w:t>
            </w:r>
            <w:r>
              <w:rPr>
                <w:rFonts w:ascii="Times New Roman"/>
                <w:vertAlign w:val="subscript"/>
              </w:rPr>
              <w:t>6</w:t>
            </w:r>
            <w:r>
              <w:rPr>
                <w:rFonts w:ascii="Times New Roman"/>
              </w:rPr>
              <w:t>-</w:t>
            </w:r>
            <w:r>
              <w:rPr>
                <w:rFonts w:ascii="Times New Roman" w:eastAsia="仿宋"/>
                <w:color w:val="000000"/>
                <w:szCs w:val="21"/>
              </w:rPr>
              <w:t>2,4,5-T</w:t>
            </w:r>
          </w:p>
        </w:tc>
        <w:tc>
          <w:tcPr>
            <w:tcW w:w="1555" w:type="dxa"/>
            <w:shd w:val="clear" w:color="auto" w:fill="auto"/>
            <w:vAlign w:val="center"/>
          </w:tcPr>
          <w:p w14:paraId="73D7B09C">
            <w:pPr>
              <w:pStyle w:val="181"/>
              <w:rPr>
                <w:rFonts w:hAnsi="宋体"/>
              </w:rPr>
            </w:pPr>
            <w:r>
              <w:rPr>
                <w:rFonts w:eastAsia="仿宋"/>
                <w:color w:val="000000"/>
                <w:szCs w:val="21"/>
              </w:rPr>
              <w:t>260.6/203.0</w:t>
            </w:r>
          </w:p>
        </w:tc>
        <w:tc>
          <w:tcPr>
            <w:tcW w:w="1557" w:type="dxa"/>
            <w:shd w:val="clear" w:color="auto" w:fill="auto"/>
            <w:vAlign w:val="center"/>
          </w:tcPr>
          <w:p w14:paraId="349F335A">
            <w:pPr>
              <w:pStyle w:val="181"/>
              <w:rPr>
                <w:rFonts w:hAnsi="宋体"/>
              </w:rPr>
            </w:pPr>
            <w:r>
              <w:rPr>
                <w:rFonts w:eastAsia="仿宋"/>
                <w:color w:val="000000"/>
                <w:szCs w:val="21"/>
              </w:rPr>
              <w:t>-15</w:t>
            </w:r>
          </w:p>
        </w:tc>
      </w:tr>
    </w:tbl>
    <w:p w14:paraId="245A416C">
      <w:pPr>
        <w:pStyle w:val="182"/>
      </w:pPr>
      <w:r>
        <w:t>*</w:t>
      </w:r>
      <w:r>
        <w:rPr>
          <w:rFonts w:hint="eastAsia"/>
        </w:rPr>
        <w:t>定量离子。</w:t>
      </w:r>
    </w:p>
    <w:p w14:paraId="358C9F55">
      <w:pPr>
        <w:pStyle w:val="59"/>
        <w:ind w:firstLine="420"/>
      </w:pPr>
    </w:p>
    <w:p w14:paraId="6EC94436">
      <w:pPr>
        <w:pStyle w:val="59"/>
        <w:ind w:firstLine="420"/>
      </w:pPr>
    </w:p>
    <w:p w14:paraId="3A4ABEA2">
      <w:pPr>
        <w:pStyle w:val="59"/>
        <w:ind w:firstLine="420"/>
      </w:pPr>
    </w:p>
    <w:p w14:paraId="60801FCC">
      <w:pPr>
        <w:pStyle w:val="59"/>
        <w:ind w:firstLine="420"/>
      </w:pPr>
    </w:p>
    <w:p w14:paraId="2E50B1DF">
      <w:pPr>
        <w:pStyle w:val="59"/>
        <w:ind w:firstLine="420"/>
        <w:sectPr>
          <w:pgSz w:w="11906" w:h="16838"/>
          <w:pgMar w:top="567" w:right="1134" w:bottom="1134" w:left="1134" w:header="1418" w:footer="1134" w:gutter="284"/>
          <w:cols w:space="425" w:num="1"/>
          <w:formProt w:val="0"/>
          <w:docGrid w:linePitch="312" w:charSpace="0"/>
        </w:sectPr>
      </w:pPr>
    </w:p>
    <w:p w14:paraId="68C48CE7">
      <w:pPr>
        <w:pStyle w:val="201"/>
      </w:pPr>
    </w:p>
    <w:p w14:paraId="575E7267">
      <w:pPr>
        <w:pStyle w:val="202"/>
      </w:pPr>
    </w:p>
    <w:p w14:paraId="5D57B641">
      <w:pPr>
        <w:pStyle w:val="79"/>
        <w:spacing w:before="60" w:after="120"/>
      </w:pPr>
      <w:r>
        <w:br w:type="textWrapping"/>
      </w:r>
      <w:bookmarkStart w:id="200" w:name="_Toc70341325"/>
      <w:bookmarkStart w:id="201" w:name="_Toc76128049"/>
      <w:bookmarkStart w:id="202" w:name="_Toc76128078"/>
      <w:bookmarkStart w:id="203" w:name="_Toc83893147"/>
      <w:bookmarkStart w:id="204" w:name="_Toc83893108"/>
      <w:bookmarkStart w:id="205" w:name="_Toc201916965"/>
      <w:r>
        <w:rPr>
          <w:rFonts w:hint="eastAsia"/>
        </w:rPr>
        <w:t>（资料性）</w:t>
      </w:r>
      <w:r>
        <w:br w:type="textWrapping"/>
      </w:r>
      <w:r>
        <w:t>8种农药及代谢物的</w:t>
      </w:r>
      <w:r>
        <w:rPr>
          <w:rFonts w:hint="eastAsia"/>
        </w:rPr>
        <w:t>提取离子流</w:t>
      </w:r>
      <w:bookmarkEnd w:id="200"/>
      <w:bookmarkEnd w:id="201"/>
      <w:bookmarkEnd w:id="202"/>
      <w:r>
        <w:rPr>
          <w:rFonts w:hint="eastAsia"/>
        </w:rPr>
        <w:t>图</w:t>
      </w:r>
      <w:bookmarkEnd w:id="203"/>
      <w:bookmarkEnd w:id="204"/>
      <w:bookmarkEnd w:id="205"/>
    </w:p>
    <w:bookmarkEnd w:id="186"/>
    <w:p w14:paraId="08F7B77B">
      <w:pPr>
        <w:pStyle w:val="59"/>
        <w:ind w:firstLine="199" w:firstLineChars="95"/>
      </w:pPr>
      <w:r>
        <w:rPr>
          <w:rFonts w:ascii="Times New Roman"/>
        </w:rPr>
        <w:drawing>
          <wp:inline distT="0" distB="0" distL="0" distR="0">
            <wp:extent cx="5264150" cy="6470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264150" cy="6470650"/>
                    </a:xfrm>
                    <a:prstGeom prst="rect">
                      <a:avLst/>
                    </a:prstGeom>
                    <a:noFill/>
                    <a:ln>
                      <a:noFill/>
                    </a:ln>
                  </pic:spPr>
                </pic:pic>
              </a:graphicData>
            </a:graphic>
          </wp:inline>
        </w:drawing>
      </w:r>
    </w:p>
    <w:p w14:paraId="15B41B99">
      <w:pPr>
        <w:pStyle w:val="86"/>
        <w:spacing w:before="120" w:after="120"/>
      </w:pPr>
      <w:r>
        <w:t>8</w:t>
      </w:r>
      <w:r>
        <w:rPr>
          <w:rFonts w:hint="eastAsia"/>
        </w:rPr>
        <w:t>种农药及代谢物提取离子流图（10.0</w:t>
      </w:r>
      <w:r>
        <w:t xml:space="preserve"> n</w:t>
      </w:r>
      <w:r>
        <w:rPr>
          <w:rFonts w:hint="eastAsia"/>
        </w:rPr>
        <w:t>g</w:t>
      </w:r>
      <w:r>
        <w:t>/mL人工尿液基质加标</w:t>
      </w:r>
      <w:r>
        <w:rPr>
          <w:rFonts w:hint="eastAsia"/>
        </w:rPr>
        <w:t>溶液）</w:t>
      </w:r>
    </w:p>
    <w:sectPr>
      <w:pgSz w:w="11906" w:h="16838"/>
      <w:pgMar w:top="567"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B1D1">
    <w:pPr>
      <w:pStyle w:val="18"/>
      <w:ind w:right="720"/>
      <w:jc w:val="both"/>
    </w:pPr>
    <w:r>
      <w:fldChar w:fldCharType="begin"/>
    </w:r>
    <w:r>
      <w:instrText xml:space="preserve">PAGE   \* MERGEFORMAT</w:instrText>
    </w:r>
    <w:r>
      <w:fldChar w:fldCharType="separate"/>
    </w:r>
    <w:r>
      <w:rPr>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E908">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DF7C">
    <w:pPr>
      <w:pStyle w:val="55"/>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27DF">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8BD54">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02E4">
    <w:pPr>
      <w:pStyle w:val="64"/>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014E">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BD4429A"/>
    <w:multiLevelType w:val="multilevel"/>
    <w:tmpl w:val="1BD4429A"/>
    <w:lvl w:ilvl="0" w:tentative="0">
      <w:start w:val="1"/>
      <w:numFmt w:val="lowerLetter"/>
      <w:lvlText w:val="%1）"/>
      <w:lvlJc w:val="left"/>
      <w:pPr>
        <w:ind w:left="784" w:hanging="360"/>
      </w:pPr>
      <w:rPr>
        <w:rFonts w:ascii="宋体" w:hAnsi="宋体" w:eastAsia="宋体" w:cs="Times New Roman"/>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EEA3CDC"/>
    <w:multiLevelType w:val="multilevel"/>
    <w:tmpl w:val="1EEA3CDC"/>
    <w:lvl w:ilvl="0" w:tentative="0">
      <w:start w:val="1"/>
      <w:numFmt w:val="lowerLetter"/>
      <w:lvlText w:val="%1）"/>
      <w:lvlJc w:val="left"/>
      <w:pPr>
        <w:ind w:left="784" w:hanging="360"/>
      </w:pPr>
      <w:rPr>
        <w:rFonts w:ascii="宋体" w:hAnsi="宋体" w:eastAsia="宋体" w:cs="Times New Roman"/>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2126"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10"/>
  </w:num>
  <w:num w:numId="10">
    <w:abstractNumId w:val="18"/>
  </w:num>
  <w:num w:numId="11">
    <w:abstractNumId w:val="27"/>
  </w:num>
  <w:num w:numId="12">
    <w:abstractNumId w:val="13"/>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6D"/>
    <w:rsid w:val="0000040A"/>
    <w:rsid w:val="00000A94"/>
    <w:rsid w:val="00001972"/>
    <w:rsid w:val="00001D9A"/>
    <w:rsid w:val="0000325F"/>
    <w:rsid w:val="00007B3A"/>
    <w:rsid w:val="000107E0"/>
    <w:rsid w:val="00011FDE"/>
    <w:rsid w:val="00012FFD"/>
    <w:rsid w:val="00014162"/>
    <w:rsid w:val="00014340"/>
    <w:rsid w:val="00014684"/>
    <w:rsid w:val="00015855"/>
    <w:rsid w:val="00016A9C"/>
    <w:rsid w:val="00022184"/>
    <w:rsid w:val="00022762"/>
    <w:rsid w:val="000238E0"/>
    <w:rsid w:val="000249DB"/>
    <w:rsid w:val="0002595E"/>
    <w:rsid w:val="00026024"/>
    <w:rsid w:val="0002693D"/>
    <w:rsid w:val="000303C3"/>
    <w:rsid w:val="000331D3"/>
    <w:rsid w:val="000346A5"/>
    <w:rsid w:val="000359C3"/>
    <w:rsid w:val="00035A7D"/>
    <w:rsid w:val="000365ED"/>
    <w:rsid w:val="000379AB"/>
    <w:rsid w:val="0004249A"/>
    <w:rsid w:val="00043282"/>
    <w:rsid w:val="00044286"/>
    <w:rsid w:val="00047F28"/>
    <w:rsid w:val="000503AA"/>
    <w:rsid w:val="000504E4"/>
    <w:rsid w:val="000506A1"/>
    <w:rsid w:val="000515DD"/>
    <w:rsid w:val="0005265A"/>
    <w:rsid w:val="000539DD"/>
    <w:rsid w:val="00053BD3"/>
    <w:rsid w:val="00053CCF"/>
    <w:rsid w:val="000546A6"/>
    <w:rsid w:val="000556ED"/>
    <w:rsid w:val="00055FE2"/>
    <w:rsid w:val="0005616F"/>
    <w:rsid w:val="00057239"/>
    <w:rsid w:val="00060C2E"/>
    <w:rsid w:val="00061033"/>
    <w:rsid w:val="000619E9"/>
    <w:rsid w:val="000622D4"/>
    <w:rsid w:val="0006357D"/>
    <w:rsid w:val="00066154"/>
    <w:rsid w:val="00067F1E"/>
    <w:rsid w:val="00071CC0"/>
    <w:rsid w:val="00071CFC"/>
    <w:rsid w:val="00073C8C"/>
    <w:rsid w:val="0007557B"/>
    <w:rsid w:val="00077B64"/>
    <w:rsid w:val="00080A1C"/>
    <w:rsid w:val="00082317"/>
    <w:rsid w:val="00083D2C"/>
    <w:rsid w:val="00085325"/>
    <w:rsid w:val="00086AA1"/>
    <w:rsid w:val="000872CB"/>
    <w:rsid w:val="00087A77"/>
    <w:rsid w:val="00087E49"/>
    <w:rsid w:val="00090CA6"/>
    <w:rsid w:val="00092B8A"/>
    <w:rsid w:val="00092FB0"/>
    <w:rsid w:val="000934C5"/>
    <w:rsid w:val="00093D25"/>
    <w:rsid w:val="00093DAB"/>
    <w:rsid w:val="00094D73"/>
    <w:rsid w:val="00096D63"/>
    <w:rsid w:val="000973BC"/>
    <w:rsid w:val="000A0B60"/>
    <w:rsid w:val="000A0EB8"/>
    <w:rsid w:val="000A19FC"/>
    <w:rsid w:val="000A296B"/>
    <w:rsid w:val="000A7311"/>
    <w:rsid w:val="000A7413"/>
    <w:rsid w:val="000B060F"/>
    <w:rsid w:val="000B1592"/>
    <w:rsid w:val="000B1FF2"/>
    <w:rsid w:val="000B3CDA"/>
    <w:rsid w:val="000B4B13"/>
    <w:rsid w:val="000B570D"/>
    <w:rsid w:val="000B6A0B"/>
    <w:rsid w:val="000C0F6C"/>
    <w:rsid w:val="000C11DB"/>
    <w:rsid w:val="000C1492"/>
    <w:rsid w:val="000C2FBD"/>
    <w:rsid w:val="000C4B41"/>
    <w:rsid w:val="000C4EF0"/>
    <w:rsid w:val="000C57D6"/>
    <w:rsid w:val="000C6362"/>
    <w:rsid w:val="000C6637"/>
    <w:rsid w:val="000C7666"/>
    <w:rsid w:val="000D0A9C"/>
    <w:rsid w:val="000D1795"/>
    <w:rsid w:val="000D1DD7"/>
    <w:rsid w:val="000D329A"/>
    <w:rsid w:val="000D4B9C"/>
    <w:rsid w:val="000D4EB6"/>
    <w:rsid w:val="000D753B"/>
    <w:rsid w:val="000E1703"/>
    <w:rsid w:val="000E2F0F"/>
    <w:rsid w:val="000E4C9E"/>
    <w:rsid w:val="000E600F"/>
    <w:rsid w:val="000E6FD7"/>
    <w:rsid w:val="000E7F38"/>
    <w:rsid w:val="000F06E1"/>
    <w:rsid w:val="000F0E3C"/>
    <w:rsid w:val="000F19D5"/>
    <w:rsid w:val="000F26BF"/>
    <w:rsid w:val="000F4050"/>
    <w:rsid w:val="000F4AEA"/>
    <w:rsid w:val="000F4F51"/>
    <w:rsid w:val="000F608B"/>
    <w:rsid w:val="000F67E9"/>
    <w:rsid w:val="00104926"/>
    <w:rsid w:val="001116C0"/>
    <w:rsid w:val="00113B1E"/>
    <w:rsid w:val="0011711C"/>
    <w:rsid w:val="001241A6"/>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6FE"/>
    <w:rsid w:val="00153C7E"/>
    <w:rsid w:val="00156B25"/>
    <w:rsid w:val="00156E1A"/>
    <w:rsid w:val="00157894"/>
    <w:rsid w:val="00157B55"/>
    <w:rsid w:val="00157B6C"/>
    <w:rsid w:val="001605DB"/>
    <w:rsid w:val="00160DB1"/>
    <w:rsid w:val="00161F8F"/>
    <w:rsid w:val="0016350E"/>
    <w:rsid w:val="001642FA"/>
    <w:rsid w:val="00164508"/>
    <w:rsid w:val="001649EB"/>
    <w:rsid w:val="00164BAF"/>
    <w:rsid w:val="00164FA8"/>
    <w:rsid w:val="00165065"/>
    <w:rsid w:val="00165434"/>
    <w:rsid w:val="0016580B"/>
    <w:rsid w:val="00165F49"/>
    <w:rsid w:val="001665C8"/>
    <w:rsid w:val="00166B88"/>
    <w:rsid w:val="0016770A"/>
    <w:rsid w:val="0017017C"/>
    <w:rsid w:val="00170804"/>
    <w:rsid w:val="001708E9"/>
    <w:rsid w:val="0017340B"/>
    <w:rsid w:val="00173FB1"/>
    <w:rsid w:val="001753C5"/>
    <w:rsid w:val="00176DFD"/>
    <w:rsid w:val="0018185C"/>
    <w:rsid w:val="001852C9"/>
    <w:rsid w:val="00187A0B"/>
    <w:rsid w:val="00190087"/>
    <w:rsid w:val="001913C4"/>
    <w:rsid w:val="0019348F"/>
    <w:rsid w:val="00193A07"/>
    <w:rsid w:val="00194C95"/>
    <w:rsid w:val="00195C34"/>
    <w:rsid w:val="00196B73"/>
    <w:rsid w:val="00196EF5"/>
    <w:rsid w:val="001A104A"/>
    <w:rsid w:val="001A133C"/>
    <w:rsid w:val="001A1A53"/>
    <w:rsid w:val="001A234A"/>
    <w:rsid w:val="001A2626"/>
    <w:rsid w:val="001A4CF3"/>
    <w:rsid w:val="001A6696"/>
    <w:rsid w:val="001A67B2"/>
    <w:rsid w:val="001B06E8"/>
    <w:rsid w:val="001B71D0"/>
    <w:rsid w:val="001B71EE"/>
    <w:rsid w:val="001B7D36"/>
    <w:rsid w:val="001C04A8"/>
    <w:rsid w:val="001C066F"/>
    <w:rsid w:val="001C2C03"/>
    <w:rsid w:val="001C42F7"/>
    <w:rsid w:val="001C49E5"/>
    <w:rsid w:val="001C680C"/>
    <w:rsid w:val="001C7FEA"/>
    <w:rsid w:val="001D0499"/>
    <w:rsid w:val="001D0BBE"/>
    <w:rsid w:val="001D0ED4"/>
    <w:rsid w:val="001D212F"/>
    <w:rsid w:val="001D29D7"/>
    <w:rsid w:val="001D2DE7"/>
    <w:rsid w:val="001D3E6B"/>
    <w:rsid w:val="001D411C"/>
    <w:rsid w:val="001E1B6A"/>
    <w:rsid w:val="001E2484"/>
    <w:rsid w:val="001E3CC4"/>
    <w:rsid w:val="001E4882"/>
    <w:rsid w:val="001E5DCD"/>
    <w:rsid w:val="001E73AB"/>
    <w:rsid w:val="001F092D"/>
    <w:rsid w:val="001F143A"/>
    <w:rsid w:val="001F1605"/>
    <w:rsid w:val="001F24A2"/>
    <w:rsid w:val="001F2508"/>
    <w:rsid w:val="001F4816"/>
    <w:rsid w:val="001F69B4"/>
    <w:rsid w:val="001F77C7"/>
    <w:rsid w:val="00200183"/>
    <w:rsid w:val="00200333"/>
    <w:rsid w:val="0020107D"/>
    <w:rsid w:val="00202AA4"/>
    <w:rsid w:val="002031F7"/>
    <w:rsid w:val="002040E6"/>
    <w:rsid w:val="00204F50"/>
    <w:rsid w:val="0020527B"/>
    <w:rsid w:val="00205F2C"/>
    <w:rsid w:val="00210B15"/>
    <w:rsid w:val="002142EA"/>
    <w:rsid w:val="0021493B"/>
    <w:rsid w:val="00215372"/>
    <w:rsid w:val="00215ADD"/>
    <w:rsid w:val="00217497"/>
    <w:rsid w:val="002204BB"/>
    <w:rsid w:val="00220872"/>
    <w:rsid w:val="00220E33"/>
    <w:rsid w:val="00221B79"/>
    <w:rsid w:val="00221C6B"/>
    <w:rsid w:val="00225361"/>
    <w:rsid w:val="002253A1"/>
    <w:rsid w:val="00225CF8"/>
    <w:rsid w:val="0022794E"/>
    <w:rsid w:val="00233D64"/>
    <w:rsid w:val="00234641"/>
    <w:rsid w:val="0023482A"/>
    <w:rsid w:val="002359CB"/>
    <w:rsid w:val="00243540"/>
    <w:rsid w:val="0024497B"/>
    <w:rsid w:val="002449DE"/>
    <w:rsid w:val="0024515B"/>
    <w:rsid w:val="002458C4"/>
    <w:rsid w:val="00246021"/>
    <w:rsid w:val="0024666E"/>
    <w:rsid w:val="00247F52"/>
    <w:rsid w:val="00250B25"/>
    <w:rsid w:val="00250BBE"/>
    <w:rsid w:val="002515C2"/>
    <w:rsid w:val="0025194F"/>
    <w:rsid w:val="00252F2F"/>
    <w:rsid w:val="002536B9"/>
    <w:rsid w:val="00256A3B"/>
    <w:rsid w:val="002571F3"/>
    <w:rsid w:val="0026148A"/>
    <w:rsid w:val="00262696"/>
    <w:rsid w:val="00263D25"/>
    <w:rsid w:val="002643C3"/>
    <w:rsid w:val="002645E4"/>
    <w:rsid w:val="00264A0C"/>
    <w:rsid w:val="00266EEB"/>
    <w:rsid w:val="00267C77"/>
    <w:rsid w:val="00267EF4"/>
    <w:rsid w:val="00270CB8"/>
    <w:rsid w:val="00272B08"/>
    <w:rsid w:val="00276DC6"/>
    <w:rsid w:val="002802D1"/>
    <w:rsid w:val="00280402"/>
    <w:rsid w:val="00281BB8"/>
    <w:rsid w:val="00281E9E"/>
    <w:rsid w:val="00282405"/>
    <w:rsid w:val="002828BD"/>
    <w:rsid w:val="00285170"/>
    <w:rsid w:val="00285361"/>
    <w:rsid w:val="00292D60"/>
    <w:rsid w:val="00293269"/>
    <w:rsid w:val="00293B30"/>
    <w:rsid w:val="00294D34"/>
    <w:rsid w:val="00294E3B"/>
    <w:rsid w:val="00296193"/>
    <w:rsid w:val="002963BB"/>
    <w:rsid w:val="00296C66"/>
    <w:rsid w:val="00296EBE"/>
    <w:rsid w:val="002974E3"/>
    <w:rsid w:val="002A084B"/>
    <w:rsid w:val="002A1260"/>
    <w:rsid w:val="002A1589"/>
    <w:rsid w:val="002A1608"/>
    <w:rsid w:val="002A25DC"/>
    <w:rsid w:val="002A3AAB"/>
    <w:rsid w:val="002A4C13"/>
    <w:rsid w:val="002A4CEA"/>
    <w:rsid w:val="002A5534"/>
    <w:rsid w:val="002A5977"/>
    <w:rsid w:val="002A5A13"/>
    <w:rsid w:val="002A6A4D"/>
    <w:rsid w:val="002A757F"/>
    <w:rsid w:val="002A7F44"/>
    <w:rsid w:val="002B0C40"/>
    <w:rsid w:val="002B1571"/>
    <w:rsid w:val="002B1966"/>
    <w:rsid w:val="002B4508"/>
    <w:rsid w:val="002B5779"/>
    <w:rsid w:val="002B7332"/>
    <w:rsid w:val="002B7F51"/>
    <w:rsid w:val="002C09E7"/>
    <w:rsid w:val="002C1E06"/>
    <w:rsid w:val="002C3F07"/>
    <w:rsid w:val="002C5278"/>
    <w:rsid w:val="002C7EBB"/>
    <w:rsid w:val="002D06C1"/>
    <w:rsid w:val="002D1F41"/>
    <w:rsid w:val="002D209E"/>
    <w:rsid w:val="002D3624"/>
    <w:rsid w:val="002D42B5"/>
    <w:rsid w:val="002D4F1A"/>
    <w:rsid w:val="002D6EC6"/>
    <w:rsid w:val="002D79AC"/>
    <w:rsid w:val="002E039D"/>
    <w:rsid w:val="002E1978"/>
    <w:rsid w:val="002E4286"/>
    <w:rsid w:val="002E4D5A"/>
    <w:rsid w:val="002E56DA"/>
    <w:rsid w:val="002E6326"/>
    <w:rsid w:val="002E7283"/>
    <w:rsid w:val="002F30E0"/>
    <w:rsid w:val="002F35E4"/>
    <w:rsid w:val="002F3730"/>
    <w:rsid w:val="002F38E1"/>
    <w:rsid w:val="002F7AF6"/>
    <w:rsid w:val="00300E63"/>
    <w:rsid w:val="00302F5F"/>
    <w:rsid w:val="0030441D"/>
    <w:rsid w:val="00306063"/>
    <w:rsid w:val="00312D77"/>
    <w:rsid w:val="00313B85"/>
    <w:rsid w:val="00317988"/>
    <w:rsid w:val="003221B4"/>
    <w:rsid w:val="0032258D"/>
    <w:rsid w:val="00322E62"/>
    <w:rsid w:val="00324D13"/>
    <w:rsid w:val="00324EDD"/>
    <w:rsid w:val="00331860"/>
    <w:rsid w:val="003319DD"/>
    <w:rsid w:val="00332E27"/>
    <w:rsid w:val="003331E4"/>
    <w:rsid w:val="00335365"/>
    <w:rsid w:val="00336C64"/>
    <w:rsid w:val="00337162"/>
    <w:rsid w:val="00340115"/>
    <w:rsid w:val="0034194F"/>
    <w:rsid w:val="00344605"/>
    <w:rsid w:val="00346E16"/>
    <w:rsid w:val="003474AA"/>
    <w:rsid w:val="00350D1D"/>
    <w:rsid w:val="00352149"/>
    <w:rsid w:val="00352C83"/>
    <w:rsid w:val="00352F1A"/>
    <w:rsid w:val="00354502"/>
    <w:rsid w:val="0036107C"/>
    <w:rsid w:val="003615D2"/>
    <w:rsid w:val="003620CB"/>
    <w:rsid w:val="0036429C"/>
    <w:rsid w:val="00364A53"/>
    <w:rsid w:val="003654CB"/>
    <w:rsid w:val="00365AA9"/>
    <w:rsid w:val="00365F86"/>
    <w:rsid w:val="00365F87"/>
    <w:rsid w:val="00366E89"/>
    <w:rsid w:val="00367818"/>
    <w:rsid w:val="003705F4"/>
    <w:rsid w:val="00370D58"/>
    <w:rsid w:val="00371316"/>
    <w:rsid w:val="0037449E"/>
    <w:rsid w:val="00375F64"/>
    <w:rsid w:val="00376713"/>
    <w:rsid w:val="00381815"/>
    <w:rsid w:val="003819AF"/>
    <w:rsid w:val="003820E9"/>
    <w:rsid w:val="00382DE7"/>
    <w:rsid w:val="00384FFC"/>
    <w:rsid w:val="003872FC"/>
    <w:rsid w:val="00387ADC"/>
    <w:rsid w:val="00390020"/>
    <w:rsid w:val="003903D6"/>
    <w:rsid w:val="00390768"/>
    <w:rsid w:val="00390EE6"/>
    <w:rsid w:val="0039118F"/>
    <w:rsid w:val="00392AD7"/>
    <w:rsid w:val="003932EC"/>
    <w:rsid w:val="003938D9"/>
    <w:rsid w:val="00394376"/>
    <w:rsid w:val="003943FF"/>
    <w:rsid w:val="003974EB"/>
    <w:rsid w:val="00397CC5"/>
    <w:rsid w:val="003A1582"/>
    <w:rsid w:val="003A3D9C"/>
    <w:rsid w:val="003A4077"/>
    <w:rsid w:val="003A4AA7"/>
    <w:rsid w:val="003A7FA3"/>
    <w:rsid w:val="003B09AD"/>
    <w:rsid w:val="003B1F18"/>
    <w:rsid w:val="003B5BF0"/>
    <w:rsid w:val="003B60BF"/>
    <w:rsid w:val="003B641F"/>
    <w:rsid w:val="003B6BE3"/>
    <w:rsid w:val="003C010C"/>
    <w:rsid w:val="003C076F"/>
    <w:rsid w:val="003C0A6C"/>
    <w:rsid w:val="003C14F8"/>
    <w:rsid w:val="003C5A43"/>
    <w:rsid w:val="003C5AC5"/>
    <w:rsid w:val="003C5C9C"/>
    <w:rsid w:val="003C6A81"/>
    <w:rsid w:val="003D0519"/>
    <w:rsid w:val="003D0FF6"/>
    <w:rsid w:val="003D262C"/>
    <w:rsid w:val="003D37D0"/>
    <w:rsid w:val="003D6D61"/>
    <w:rsid w:val="003E091D"/>
    <w:rsid w:val="003E11E6"/>
    <w:rsid w:val="003E1C53"/>
    <w:rsid w:val="003E2A69"/>
    <w:rsid w:val="003E2D49"/>
    <w:rsid w:val="003E2FD4"/>
    <w:rsid w:val="003E49F6"/>
    <w:rsid w:val="003E660F"/>
    <w:rsid w:val="003F0841"/>
    <w:rsid w:val="003F23D3"/>
    <w:rsid w:val="003F3F08"/>
    <w:rsid w:val="003F49F1"/>
    <w:rsid w:val="003F5CA8"/>
    <w:rsid w:val="003F6272"/>
    <w:rsid w:val="003F77ED"/>
    <w:rsid w:val="00400E72"/>
    <w:rsid w:val="00401400"/>
    <w:rsid w:val="00403F58"/>
    <w:rsid w:val="00404869"/>
    <w:rsid w:val="00405884"/>
    <w:rsid w:val="004068AF"/>
    <w:rsid w:val="00407D39"/>
    <w:rsid w:val="0041477A"/>
    <w:rsid w:val="00415A03"/>
    <w:rsid w:val="004167A3"/>
    <w:rsid w:val="0042400B"/>
    <w:rsid w:val="00431054"/>
    <w:rsid w:val="00432DAA"/>
    <w:rsid w:val="00434305"/>
    <w:rsid w:val="00435DF7"/>
    <w:rsid w:val="0044083F"/>
    <w:rsid w:val="00440EF0"/>
    <w:rsid w:val="00441AE7"/>
    <w:rsid w:val="00445574"/>
    <w:rsid w:val="004467FB"/>
    <w:rsid w:val="00451E1E"/>
    <w:rsid w:val="00452D6B"/>
    <w:rsid w:val="00454484"/>
    <w:rsid w:val="0045474B"/>
    <w:rsid w:val="0045517B"/>
    <w:rsid w:val="00457AD2"/>
    <w:rsid w:val="00461FB7"/>
    <w:rsid w:val="004624A3"/>
    <w:rsid w:val="004630A7"/>
    <w:rsid w:val="00463B77"/>
    <w:rsid w:val="00463C7B"/>
    <w:rsid w:val="004644A6"/>
    <w:rsid w:val="004659BD"/>
    <w:rsid w:val="00470770"/>
    <w:rsid w:val="00470775"/>
    <w:rsid w:val="004746B1"/>
    <w:rsid w:val="0047583F"/>
    <w:rsid w:val="00475DE8"/>
    <w:rsid w:val="00477B8A"/>
    <w:rsid w:val="00481C44"/>
    <w:rsid w:val="00484936"/>
    <w:rsid w:val="00485C89"/>
    <w:rsid w:val="00485E57"/>
    <w:rsid w:val="00486BE3"/>
    <w:rsid w:val="004905E4"/>
    <w:rsid w:val="00490A89"/>
    <w:rsid w:val="00490AB4"/>
    <w:rsid w:val="00492F02"/>
    <w:rsid w:val="004939AE"/>
    <w:rsid w:val="00494624"/>
    <w:rsid w:val="004951B4"/>
    <w:rsid w:val="004A12DF"/>
    <w:rsid w:val="004A1BA8"/>
    <w:rsid w:val="004A237E"/>
    <w:rsid w:val="004A3E2D"/>
    <w:rsid w:val="004A4B57"/>
    <w:rsid w:val="004A63FA"/>
    <w:rsid w:val="004A6A3D"/>
    <w:rsid w:val="004B0272"/>
    <w:rsid w:val="004B2701"/>
    <w:rsid w:val="004B2E1B"/>
    <w:rsid w:val="004B3AA8"/>
    <w:rsid w:val="004B3E93"/>
    <w:rsid w:val="004B4438"/>
    <w:rsid w:val="004B4F1E"/>
    <w:rsid w:val="004B7C29"/>
    <w:rsid w:val="004C0970"/>
    <w:rsid w:val="004C1FBC"/>
    <w:rsid w:val="004C25A2"/>
    <w:rsid w:val="004C3F1D"/>
    <w:rsid w:val="004C458D"/>
    <w:rsid w:val="004C7556"/>
    <w:rsid w:val="004C7E8B"/>
    <w:rsid w:val="004C7E9D"/>
    <w:rsid w:val="004C7F67"/>
    <w:rsid w:val="004D076D"/>
    <w:rsid w:val="004D0EF1"/>
    <w:rsid w:val="004D1F4C"/>
    <w:rsid w:val="004D2253"/>
    <w:rsid w:val="004D4406"/>
    <w:rsid w:val="004D7C42"/>
    <w:rsid w:val="004E0465"/>
    <w:rsid w:val="004E127B"/>
    <w:rsid w:val="004E1C0A"/>
    <w:rsid w:val="004E30C5"/>
    <w:rsid w:val="004E4AA5"/>
    <w:rsid w:val="004E4AEE"/>
    <w:rsid w:val="004E59E3"/>
    <w:rsid w:val="004E67C0"/>
    <w:rsid w:val="004F391A"/>
    <w:rsid w:val="004F3CFB"/>
    <w:rsid w:val="004F405E"/>
    <w:rsid w:val="004F50C0"/>
    <w:rsid w:val="004F6456"/>
    <w:rsid w:val="004F696E"/>
    <w:rsid w:val="004F6C71"/>
    <w:rsid w:val="00501139"/>
    <w:rsid w:val="00501332"/>
    <w:rsid w:val="0050363E"/>
    <w:rsid w:val="005039BC"/>
    <w:rsid w:val="005043BB"/>
    <w:rsid w:val="00504A3D"/>
    <w:rsid w:val="00505767"/>
    <w:rsid w:val="005073F0"/>
    <w:rsid w:val="00510A7B"/>
    <w:rsid w:val="00512F6E"/>
    <w:rsid w:val="00513038"/>
    <w:rsid w:val="00514174"/>
    <w:rsid w:val="00516088"/>
    <w:rsid w:val="00516B0B"/>
    <w:rsid w:val="0052199C"/>
    <w:rsid w:val="005220EC"/>
    <w:rsid w:val="00523F95"/>
    <w:rsid w:val="00524D65"/>
    <w:rsid w:val="00525B16"/>
    <w:rsid w:val="00525DB5"/>
    <w:rsid w:val="00533D04"/>
    <w:rsid w:val="00533FB7"/>
    <w:rsid w:val="00534804"/>
    <w:rsid w:val="0053485D"/>
    <w:rsid w:val="00534BDF"/>
    <w:rsid w:val="005354EA"/>
    <w:rsid w:val="0053585F"/>
    <w:rsid w:val="00535EC4"/>
    <w:rsid w:val="00535ED9"/>
    <w:rsid w:val="0053692B"/>
    <w:rsid w:val="0053731A"/>
    <w:rsid w:val="00541853"/>
    <w:rsid w:val="00543BDA"/>
    <w:rsid w:val="005441CC"/>
    <w:rsid w:val="005479DA"/>
    <w:rsid w:val="00547BCC"/>
    <w:rsid w:val="0055013B"/>
    <w:rsid w:val="00551F6F"/>
    <w:rsid w:val="00555044"/>
    <w:rsid w:val="00561475"/>
    <w:rsid w:val="00561BD7"/>
    <w:rsid w:val="00562308"/>
    <w:rsid w:val="0056487B"/>
    <w:rsid w:val="00564FB9"/>
    <w:rsid w:val="005712B8"/>
    <w:rsid w:val="00571CA8"/>
    <w:rsid w:val="00573D9E"/>
    <w:rsid w:val="00577EE5"/>
    <w:rsid w:val="005801E3"/>
    <w:rsid w:val="0058056C"/>
    <w:rsid w:val="00581802"/>
    <w:rsid w:val="005836A8"/>
    <w:rsid w:val="0058409C"/>
    <w:rsid w:val="00584262"/>
    <w:rsid w:val="0058647E"/>
    <w:rsid w:val="00586630"/>
    <w:rsid w:val="00587ADD"/>
    <w:rsid w:val="00591D39"/>
    <w:rsid w:val="00593A49"/>
    <w:rsid w:val="005950EE"/>
    <w:rsid w:val="00596160"/>
    <w:rsid w:val="005966E2"/>
    <w:rsid w:val="00597007"/>
    <w:rsid w:val="005A0966"/>
    <w:rsid w:val="005A11B7"/>
    <w:rsid w:val="005A23F4"/>
    <w:rsid w:val="005A260B"/>
    <w:rsid w:val="005A2C01"/>
    <w:rsid w:val="005A4A1B"/>
    <w:rsid w:val="005A6263"/>
    <w:rsid w:val="005A7830"/>
    <w:rsid w:val="005A7FCE"/>
    <w:rsid w:val="005B0EE5"/>
    <w:rsid w:val="005B0F3F"/>
    <w:rsid w:val="005B191C"/>
    <w:rsid w:val="005B4903"/>
    <w:rsid w:val="005B51CE"/>
    <w:rsid w:val="005B5885"/>
    <w:rsid w:val="005B5CD7"/>
    <w:rsid w:val="005B6CF6"/>
    <w:rsid w:val="005B7422"/>
    <w:rsid w:val="005B7FC7"/>
    <w:rsid w:val="005C0B2C"/>
    <w:rsid w:val="005C29B8"/>
    <w:rsid w:val="005C53EC"/>
    <w:rsid w:val="005C5F21"/>
    <w:rsid w:val="005C7156"/>
    <w:rsid w:val="005C7B39"/>
    <w:rsid w:val="005D0A03"/>
    <w:rsid w:val="005D0C75"/>
    <w:rsid w:val="005D13F0"/>
    <w:rsid w:val="005D1A85"/>
    <w:rsid w:val="005D25CA"/>
    <w:rsid w:val="005D4171"/>
    <w:rsid w:val="005D6A95"/>
    <w:rsid w:val="005D6B2C"/>
    <w:rsid w:val="005D6D9C"/>
    <w:rsid w:val="005E17E6"/>
    <w:rsid w:val="005E2335"/>
    <w:rsid w:val="005E34CA"/>
    <w:rsid w:val="005E3C18"/>
    <w:rsid w:val="005E4250"/>
    <w:rsid w:val="005E6812"/>
    <w:rsid w:val="005E7881"/>
    <w:rsid w:val="005E78E0"/>
    <w:rsid w:val="005F0733"/>
    <w:rsid w:val="005F0D9C"/>
    <w:rsid w:val="005F284E"/>
    <w:rsid w:val="005F4A78"/>
    <w:rsid w:val="005F7406"/>
    <w:rsid w:val="006015CE"/>
    <w:rsid w:val="00604784"/>
    <w:rsid w:val="00606419"/>
    <w:rsid w:val="0060775D"/>
    <w:rsid w:val="00607D29"/>
    <w:rsid w:val="00610EE1"/>
    <w:rsid w:val="006111AC"/>
    <w:rsid w:val="00612952"/>
    <w:rsid w:val="00614CC1"/>
    <w:rsid w:val="00615A9D"/>
    <w:rsid w:val="0061642E"/>
    <w:rsid w:val="00617387"/>
    <w:rsid w:val="00617CDC"/>
    <w:rsid w:val="006205D6"/>
    <w:rsid w:val="00621345"/>
    <w:rsid w:val="006219D9"/>
    <w:rsid w:val="00622DCA"/>
    <w:rsid w:val="0062482D"/>
    <w:rsid w:val="006252D8"/>
    <w:rsid w:val="006259BC"/>
    <w:rsid w:val="0062636B"/>
    <w:rsid w:val="00632182"/>
    <w:rsid w:val="00632AE0"/>
    <w:rsid w:val="00633C17"/>
    <w:rsid w:val="00634D9E"/>
    <w:rsid w:val="006351CE"/>
    <w:rsid w:val="00636E3E"/>
    <w:rsid w:val="006376F3"/>
    <w:rsid w:val="006379F7"/>
    <w:rsid w:val="00637E4D"/>
    <w:rsid w:val="00640620"/>
    <w:rsid w:val="00640BAD"/>
    <w:rsid w:val="00641A1F"/>
    <w:rsid w:val="00645904"/>
    <w:rsid w:val="00650D3F"/>
    <w:rsid w:val="00650F86"/>
    <w:rsid w:val="00651ACB"/>
    <w:rsid w:val="00651C47"/>
    <w:rsid w:val="00652AB2"/>
    <w:rsid w:val="00653FED"/>
    <w:rsid w:val="00654EC0"/>
    <w:rsid w:val="0065525B"/>
    <w:rsid w:val="00655D4F"/>
    <w:rsid w:val="00656D29"/>
    <w:rsid w:val="00657FDC"/>
    <w:rsid w:val="00660A49"/>
    <w:rsid w:val="006640E5"/>
    <w:rsid w:val="006646F1"/>
    <w:rsid w:val="00664929"/>
    <w:rsid w:val="00664C59"/>
    <w:rsid w:val="00664F62"/>
    <w:rsid w:val="006655E1"/>
    <w:rsid w:val="00672060"/>
    <w:rsid w:val="0067286F"/>
    <w:rsid w:val="00672BFD"/>
    <w:rsid w:val="00676016"/>
    <w:rsid w:val="006770F4"/>
    <w:rsid w:val="00677A84"/>
    <w:rsid w:val="0068026D"/>
    <w:rsid w:val="00680A27"/>
    <w:rsid w:val="006816A4"/>
    <w:rsid w:val="006819B8"/>
    <w:rsid w:val="00683042"/>
    <w:rsid w:val="006840A6"/>
    <w:rsid w:val="006850CD"/>
    <w:rsid w:val="00685AAB"/>
    <w:rsid w:val="00686433"/>
    <w:rsid w:val="006868FC"/>
    <w:rsid w:val="00686A01"/>
    <w:rsid w:val="0069777B"/>
    <w:rsid w:val="00697FF9"/>
    <w:rsid w:val="006A07AA"/>
    <w:rsid w:val="006A25E5"/>
    <w:rsid w:val="006A2B46"/>
    <w:rsid w:val="006A336D"/>
    <w:rsid w:val="006A37B9"/>
    <w:rsid w:val="006A4108"/>
    <w:rsid w:val="006A5B08"/>
    <w:rsid w:val="006B0642"/>
    <w:rsid w:val="006B2672"/>
    <w:rsid w:val="006B54BF"/>
    <w:rsid w:val="006B5F44"/>
    <w:rsid w:val="006B5F90"/>
    <w:rsid w:val="006B62E4"/>
    <w:rsid w:val="006C1BBA"/>
    <w:rsid w:val="006C2079"/>
    <w:rsid w:val="006C21E6"/>
    <w:rsid w:val="006C31B9"/>
    <w:rsid w:val="006C5363"/>
    <w:rsid w:val="006C5A62"/>
    <w:rsid w:val="006C5D68"/>
    <w:rsid w:val="006C6976"/>
    <w:rsid w:val="006C6B4C"/>
    <w:rsid w:val="006C6DD0"/>
    <w:rsid w:val="006D04EA"/>
    <w:rsid w:val="006D16C4"/>
    <w:rsid w:val="006D3E96"/>
    <w:rsid w:val="006D4515"/>
    <w:rsid w:val="006D475B"/>
    <w:rsid w:val="006D4BB1"/>
    <w:rsid w:val="006D6593"/>
    <w:rsid w:val="006E17B8"/>
    <w:rsid w:val="006E5A59"/>
    <w:rsid w:val="006E6636"/>
    <w:rsid w:val="006F03A8"/>
    <w:rsid w:val="006F2346"/>
    <w:rsid w:val="006F2ACA"/>
    <w:rsid w:val="006F2ADC"/>
    <w:rsid w:val="006F2BFE"/>
    <w:rsid w:val="006F31E9"/>
    <w:rsid w:val="006F6284"/>
    <w:rsid w:val="007002C5"/>
    <w:rsid w:val="00701E19"/>
    <w:rsid w:val="00704387"/>
    <w:rsid w:val="00707669"/>
    <w:rsid w:val="0071063B"/>
    <w:rsid w:val="00711CBA"/>
    <w:rsid w:val="00711FB5"/>
    <w:rsid w:val="00712A01"/>
    <w:rsid w:val="00714F58"/>
    <w:rsid w:val="00720B74"/>
    <w:rsid w:val="00722FBF"/>
    <w:rsid w:val="00722FC2"/>
    <w:rsid w:val="00724E1B"/>
    <w:rsid w:val="00725949"/>
    <w:rsid w:val="00727FA2"/>
    <w:rsid w:val="007322D9"/>
    <w:rsid w:val="00732BC0"/>
    <w:rsid w:val="00734C8D"/>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802"/>
    <w:rsid w:val="00756B26"/>
    <w:rsid w:val="00756EDF"/>
    <w:rsid w:val="007600E3"/>
    <w:rsid w:val="0076236C"/>
    <w:rsid w:val="00764367"/>
    <w:rsid w:val="007653E4"/>
    <w:rsid w:val="00765C43"/>
    <w:rsid w:val="00765EFB"/>
    <w:rsid w:val="007671CA"/>
    <w:rsid w:val="00767C61"/>
    <w:rsid w:val="0077008A"/>
    <w:rsid w:val="00773C1F"/>
    <w:rsid w:val="00774DA4"/>
    <w:rsid w:val="00776599"/>
    <w:rsid w:val="0078114B"/>
    <w:rsid w:val="00781DD2"/>
    <w:rsid w:val="007837FA"/>
    <w:rsid w:val="00783ECF"/>
    <w:rsid w:val="0078413A"/>
    <w:rsid w:val="00786827"/>
    <w:rsid w:val="007959E8"/>
    <w:rsid w:val="00795E9C"/>
    <w:rsid w:val="00796FFF"/>
    <w:rsid w:val="007A0521"/>
    <w:rsid w:val="007A2E12"/>
    <w:rsid w:val="007A3475"/>
    <w:rsid w:val="007A41C8"/>
    <w:rsid w:val="007A54CE"/>
    <w:rsid w:val="007A6FD9"/>
    <w:rsid w:val="007A7FFA"/>
    <w:rsid w:val="007B04EB"/>
    <w:rsid w:val="007B0A28"/>
    <w:rsid w:val="007B0CB2"/>
    <w:rsid w:val="007B0D4F"/>
    <w:rsid w:val="007B5A3D"/>
    <w:rsid w:val="007B5B95"/>
    <w:rsid w:val="007B6032"/>
    <w:rsid w:val="007B6841"/>
    <w:rsid w:val="007B68EA"/>
    <w:rsid w:val="007B7453"/>
    <w:rsid w:val="007B7C9F"/>
    <w:rsid w:val="007C2D89"/>
    <w:rsid w:val="007C32B3"/>
    <w:rsid w:val="007C4593"/>
    <w:rsid w:val="007C5309"/>
    <w:rsid w:val="007C5F34"/>
    <w:rsid w:val="007C6069"/>
    <w:rsid w:val="007D06C4"/>
    <w:rsid w:val="007D113F"/>
    <w:rsid w:val="007D1352"/>
    <w:rsid w:val="007D2508"/>
    <w:rsid w:val="007D346A"/>
    <w:rsid w:val="007D6518"/>
    <w:rsid w:val="007D76BD"/>
    <w:rsid w:val="007E0BF1"/>
    <w:rsid w:val="007E3D8C"/>
    <w:rsid w:val="007F0ED8"/>
    <w:rsid w:val="007F0F63"/>
    <w:rsid w:val="007F2562"/>
    <w:rsid w:val="007F3E2E"/>
    <w:rsid w:val="007F4BEA"/>
    <w:rsid w:val="007F5594"/>
    <w:rsid w:val="007F75CE"/>
    <w:rsid w:val="0080085B"/>
    <w:rsid w:val="008013A4"/>
    <w:rsid w:val="008027CE"/>
    <w:rsid w:val="00802973"/>
    <w:rsid w:val="00802AD4"/>
    <w:rsid w:val="00802F42"/>
    <w:rsid w:val="00804383"/>
    <w:rsid w:val="00804BB7"/>
    <w:rsid w:val="00804D41"/>
    <w:rsid w:val="00810257"/>
    <w:rsid w:val="008104F5"/>
    <w:rsid w:val="00811072"/>
    <w:rsid w:val="00811369"/>
    <w:rsid w:val="00815419"/>
    <w:rsid w:val="008163C8"/>
    <w:rsid w:val="008164A1"/>
    <w:rsid w:val="00817325"/>
    <w:rsid w:val="008209E6"/>
    <w:rsid w:val="00822A5E"/>
    <w:rsid w:val="00823303"/>
    <w:rsid w:val="008233B2"/>
    <w:rsid w:val="00823A9F"/>
    <w:rsid w:val="00823C85"/>
    <w:rsid w:val="0082435B"/>
    <w:rsid w:val="00825138"/>
    <w:rsid w:val="008257BD"/>
    <w:rsid w:val="008261BD"/>
    <w:rsid w:val="008269DD"/>
    <w:rsid w:val="00830621"/>
    <w:rsid w:val="008332E8"/>
    <w:rsid w:val="0083348C"/>
    <w:rsid w:val="008373D3"/>
    <w:rsid w:val="00840617"/>
    <w:rsid w:val="00840F84"/>
    <w:rsid w:val="008417F6"/>
    <w:rsid w:val="00842A47"/>
    <w:rsid w:val="00843C13"/>
    <w:rsid w:val="00844F59"/>
    <w:rsid w:val="008454F8"/>
    <w:rsid w:val="00851058"/>
    <w:rsid w:val="008514F1"/>
    <w:rsid w:val="0085173A"/>
    <w:rsid w:val="008523C6"/>
    <w:rsid w:val="008603CE"/>
    <w:rsid w:val="008620FC"/>
    <w:rsid w:val="008627A5"/>
    <w:rsid w:val="00863E05"/>
    <w:rsid w:val="00865ACA"/>
    <w:rsid w:val="00865D28"/>
    <w:rsid w:val="00865F85"/>
    <w:rsid w:val="008661EB"/>
    <w:rsid w:val="00867C10"/>
    <w:rsid w:val="00870439"/>
    <w:rsid w:val="00870DA1"/>
    <w:rsid w:val="00871D10"/>
    <w:rsid w:val="00871D81"/>
    <w:rsid w:val="00883F93"/>
    <w:rsid w:val="00884DB3"/>
    <w:rsid w:val="00885A9D"/>
    <w:rsid w:val="008864F6"/>
    <w:rsid w:val="00887AC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4E23"/>
    <w:rsid w:val="008B50C8"/>
    <w:rsid w:val="008B5281"/>
    <w:rsid w:val="008B7E05"/>
    <w:rsid w:val="008C1797"/>
    <w:rsid w:val="008C219C"/>
    <w:rsid w:val="008C2667"/>
    <w:rsid w:val="008C34F9"/>
    <w:rsid w:val="008C475E"/>
    <w:rsid w:val="008C5558"/>
    <w:rsid w:val="008C619A"/>
    <w:rsid w:val="008D0CE8"/>
    <w:rsid w:val="008D2234"/>
    <w:rsid w:val="008D2D1D"/>
    <w:rsid w:val="008D453D"/>
    <w:rsid w:val="008D53AD"/>
    <w:rsid w:val="008D562B"/>
    <w:rsid w:val="008D5733"/>
    <w:rsid w:val="008D622B"/>
    <w:rsid w:val="008D666C"/>
    <w:rsid w:val="008D7B54"/>
    <w:rsid w:val="008E0C9D"/>
    <w:rsid w:val="008E1648"/>
    <w:rsid w:val="008E1B3E"/>
    <w:rsid w:val="008E1C2C"/>
    <w:rsid w:val="008E2319"/>
    <w:rsid w:val="008E3A1C"/>
    <w:rsid w:val="008E4BB6"/>
    <w:rsid w:val="008E5518"/>
    <w:rsid w:val="008E6A84"/>
    <w:rsid w:val="008F0A0B"/>
    <w:rsid w:val="008F0CDC"/>
    <w:rsid w:val="008F17A3"/>
    <w:rsid w:val="008F1ED3"/>
    <w:rsid w:val="008F3C1C"/>
    <w:rsid w:val="008F4C29"/>
    <w:rsid w:val="008F7046"/>
    <w:rsid w:val="008F70BD"/>
    <w:rsid w:val="008F788F"/>
    <w:rsid w:val="008F7EA2"/>
    <w:rsid w:val="00902722"/>
    <w:rsid w:val="009027BC"/>
    <w:rsid w:val="009062E6"/>
    <w:rsid w:val="00906474"/>
    <w:rsid w:val="00910D5D"/>
    <w:rsid w:val="0091175A"/>
    <w:rsid w:val="00911BE5"/>
    <w:rsid w:val="00913CA9"/>
    <w:rsid w:val="009145AE"/>
    <w:rsid w:val="009146CE"/>
    <w:rsid w:val="00914CA7"/>
    <w:rsid w:val="00915C3E"/>
    <w:rsid w:val="009161A8"/>
    <w:rsid w:val="00923EC6"/>
    <w:rsid w:val="00924320"/>
    <w:rsid w:val="009245AE"/>
    <w:rsid w:val="009245F5"/>
    <w:rsid w:val="009249EC"/>
    <w:rsid w:val="009273B3"/>
    <w:rsid w:val="009305B5"/>
    <w:rsid w:val="0093122B"/>
    <w:rsid w:val="009378DD"/>
    <w:rsid w:val="009429D5"/>
    <w:rsid w:val="00942BF1"/>
    <w:rsid w:val="00945180"/>
    <w:rsid w:val="00945428"/>
    <w:rsid w:val="0094607B"/>
    <w:rsid w:val="00950244"/>
    <w:rsid w:val="00953604"/>
    <w:rsid w:val="0095496B"/>
    <w:rsid w:val="0095539D"/>
    <w:rsid w:val="0095737F"/>
    <w:rsid w:val="009573D5"/>
    <w:rsid w:val="009578BC"/>
    <w:rsid w:val="00960F1E"/>
    <w:rsid w:val="009610DC"/>
    <w:rsid w:val="00961490"/>
    <w:rsid w:val="0096381A"/>
    <w:rsid w:val="00965E04"/>
    <w:rsid w:val="009674AD"/>
    <w:rsid w:val="00967D1A"/>
    <w:rsid w:val="00970CDC"/>
    <w:rsid w:val="00972217"/>
    <w:rsid w:val="00975727"/>
    <w:rsid w:val="009758FF"/>
    <w:rsid w:val="00977010"/>
    <w:rsid w:val="009779A3"/>
    <w:rsid w:val="00977D02"/>
    <w:rsid w:val="00977FF9"/>
    <w:rsid w:val="009809BB"/>
    <w:rsid w:val="0098364B"/>
    <w:rsid w:val="00984970"/>
    <w:rsid w:val="009911AF"/>
    <w:rsid w:val="00991875"/>
    <w:rsid w:val="00991F92"/>
    <w:rsid w:val="00992985"/>
    <w:rsid w:val="00993889"/>
    <w:rsid w:val="0099403B"/>
    <w:rsid w:val="0099551B"/>
    <w:rsid w:val="00996BD2"/>
    <w:rsid w:val="00997377"/>
    <w:rsid w:val="00997BF1"/>
    <w:rsid w:val="009A07F3"/>
    <w:rsid w:val="009A089C"/>
    <w:rsid w:val="009A118E"/>
    <w:rsid w:val="009A21CD"/>
    <w:rsid w:val="009A278C"/>
    <w:rsid w:val="009A2BC2"/>
    <w:rsid w:val="009A3413"/>
    <w:rsid w:val="009A42C1"/>
    <w:rsid w:val="009A5429"/>
    <w:rsid w:val="009A5AA8"/>
    <w:rsid w:val="009A72AD"/>
    <w:rsid w:val="009B09E0"/>
    <w:rsid w:val="009B0BC5"/>
    <w:rsid w:val="009B1247"/>
    <w:rsid w:val="009B3CD9"/>
    <w:rsid w:val="009B6029"/>
    <w:rsid w:val="009B6971"/>
    <w:rsid w:val="009C27F1"/>
    <w:rsid w:val="009C2AB6"/>
    <w:rsid w:val="009C3152"/>
    <w:rsid w:val="009C3257"/>
    <w:rsid w:val="009C4CFA"/>
    <w:rsid w:val="009C5070"/>
    <w:rsid w:val="009D112C"/>
    <w:rsid w:val="009D1385"/>
    <w:rsid w:val="009D3C74"/>
    <w:rsid w:val="009D4086"/>
    <w:rsid w:val="009D47FA"/>
    <w:rsid w:val="009D4C5B"/>
    <w:rsid w:val="009D50D2"/>
    <w:rsid w:val="009D6BCA"/>
    <w:rsid w:val="009E06A6"/>
    <w:rsid w:val="009E0F62"/>
    <w:rsid w:val="009E4A58"/>
    <w:rsid w:val="009E5A2D"/>
    <w:rsid w:val="009E5AB2"/>
    <w:rsid w:val="009E6219"/>
    <w:rsid w:val="009F03B3"/>
    <w:rsid w:val="009F4102"/>
    <w:rsid w:val="009F6BAE"/>
    <w:rsid w:val="00A006A2"/>
    <w:rsid w:val="00A0096C"/>
    <w:rsid w:val="00A01757"/>
    <w:rsid w:val="00A028C0"/>
    <w:rsid w:val="00A02BAE"/>
    <w:rsid w:val="00A06A6B"/>
    <w:rsid w:val="00A07E47"/>
    <w:rsid w:val="00A105CA"/>
    <w:rsid w:val="00A129D0"/>
    <w:rsid w:val="00A12C33"/>
    <w:rsid w:val="00A138BA"/>
    <w:rsid w:val="00A14C8E"/>
    <w:rsid w:val="00A153D9"/>
    <w:rsid w:val="00A15F09"/>
    <w:rsid w:val="00A16766"/>
    <w:rsid w:val="00A169B6"/>
    <w:rsid w:val="00A20A4D"/>
    <w:rsid w:val="00A2271D"/>
    <w:rsid w:val="00A237D5"/>
    <w:rsid w:val="00A30EFC"/>
    <w:rsid w:val="00A31984"/>
    <w:rsid w:val="00A32D73"/>
    <w:rsid w:val="00A3367B"/>
    <w:rsid w:val="00A3597D"/>
    <w:rsid w:val="00A36DD1"/>
    <w:rsid w:val="00A4006C"/>
    <w:rsid w:val="00A40088"/>
    <w:rsid w:val="00A40091"/>
    <w:rsid w:val="00A400FF"/>
    <w:rsid w:val="00A4030F"/>
    <w:rsid w:val="00A41C79"/>
    <w:rsid w:val="00A41CB5"/>
    <w:rsid w:val="00A42CDF"/>
    <w:rsid w:val="00A4452E"/>
    <w:rsid w:val="00A4472C"/>
    <w:rsid w:val="00A44E69"/>
    <w:rsid w:val="00A4661E"/>
    <w:rsid w:val="00A539E9"/>
    <w:rsid w:val="00A55BD6"/>
    <w:rsid w:val="00A55D50"/>
    <w:rsid w:val="00A57142"/>
    <w:rsid w:val="00A61310"/>
    <w:rsid w:val="00A6399D"/>
    <w:rsid w:val="00A648CD"/>
    <w:rsid w:val="00A6537A"/>
    <w:rsid w:val="00A67866"/>
    <w:rsid w:val="00A70B07"/>
    <w:rsid w:val="00A723F8"/>
    <w:rsid w:val="00A77CCB"/>
    <w:rsid w:val="00A83D8D"/>
    <w:rsid w:val="00A8446B"/>
    <w:rsid w:val="00A8473F"/>
    <w:rsid w:val="00A85089"/>
    <w:rsid w:val="00A862D6"/>
    <w:rsid w:val="00A8715E"/>
    <w:rsid w:val="00A9295B"/>
    <w:rsid w:val="00A9344B"/>
    <w:rsid w:val="00A93B09"/>
    <w:rsid w:val="00A948BB"/>
    <w:rsid w:val="00A952D7"/>
    <w:rsid w:val="00A95931"/>
    <w:rsid w:val="00A963F7"/>
    <w:rsid w:val="00A96AD8"/>
    <w:rsid w:val="00AA052C"/>
    <w:rsid w:val="00AA1E45"/>
    <w:rsid w:val="00AA4286"/>
    <w:rsid w:val="00AA456B"/>
    <w:rsid w:val="00AA57F5"/>
    <w:rsid w:val="00AA672E"/>
    <w:rsid w:val="00AA6EC9"/>
    <w:rsid w:val="00AB2B78"/>
    <w:rsid w:val="00AB6309"/>
    <w:rsid w:val="00AB6C5F"/>
    <w:rsid w:val="00AB7129"/>
    <w:rsid w:val="00AC0A71"/>
    <w:rsid w:val="00AC27A6"/>
    <w:rsid w:val="00AC30F7"/>
    <w:rsid w:val="00AC3A5A"/>
    <w:rsid w:val="00AC4A0C"/>
    <w:rsid w:val="00AC4D95"/>
    <w:rsid w:val="00AC5AA6"/>
    <w:rsid w:val="00AC5DF4"/>
    <w:rsid w:val="00AC6FF9"/>
    <w:rsid w:val="00AD0AEF"/>
    <w:rsid w:val="00AD11B7"/>
    <w:rsid w:val="00AD1A94"/>
    <w:rsid w:val="00AD1C05"/>
    <w:rsid w:val="00AD1C72"/>
    <w:rsid w:val="00AD4126"/>
    <w:rsid w:val="00AD421C"/>
    <w:rsid w:val="00AD44FA"/>
    <w:rsid w:val="00AD5480"/>
    <w:rsid w:val="00AD58D3"/>
    <w:rsid w:val="00AD6430"/>
    <w:rsid w:val="00AE070A"/>
    <w:rsid w:val="00AE101C"/>
    <w:rsid w:val="00AE2A69"/>
    <w:rsid w:val="00AE37E5"/>
    <w:rsid w:val="00AE4E0B"/>
    <w:rsid w:val="00AE5EB4"/>
    <w:rsid w:val="00AE66E7"/>
    <w:rsid w:val="00AF0C18"/>
    <w:rsid w:val="00AF47C5"/>
    <w:rsid w:val="00AF5398"/>
    <w:rsid w:val="00B001AE"/>
    <w:rsid w:val="00B0109E"/>
    <w:rsid w:val="00B049AF"/>
    <w:rsid w:val="00B07242"/>
    <w:rsid w:val="00B104AC"/>
    <w:rsid w:val="00B10534"/>
    <w:rsid w:val="00B113DB"/>
    <w:rsid w:val="00B11D8A"/>
    <w:rsid w:val="00B12981"/>
    <w:rsid w:val="00B147DD"/>
    <w:rsid w:val="00B156FD"/>
    <w:rsid w:val="00B1632C"/>
    <w:rsid w:val="00B17BF8"/>
    <w:rsid w:val="00B20041"/>
    <w:rsid w:val="00B21F61"/>
    <w:rsid w:val="00B2588C"/>
    <w:rsid w:val="00B261F1"/>
    <w:rsid w:val="00B265BC"/>
    <w:rsid w:val="00B31FB1"/>
    <w:rsid w:val="00B33807"/>
    <w:rsid w:val="00B33952"/>
    <w:rsid w:val="00B33C5E"/>
    <w:rsid w:val="00B342F4"/>
    <w:rsid w:val="00B34369"/>
    <w:rsid w:val="00B34DC2"/>
    <w:rsid w:val="00B378E5"/>
    <w:rsid w:val="00B4346D"/>
    <w:rsid w:val="00B440F4"/>
    <w:rsid w:val="00B447A5"/>
    <w:rsid w:val="00B4654C"/>
    <w:rsid w:val="00B47293"/>
    <w:rsid w:val="00B50669"/>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A91"/>
    <w:rsid w:val="00B96D40"/>
    <w:rsid w:val="00B97010"/>
    <w:rsid w:val="00B97080"/>
    <w:rsid w:val="00B97386"/>
    <w:rsid w:val="00B973C8"/>
    <w:rsid w:val="00BA263B"/>
    <w:rsid w:val="00BA3674"/>
    <w:rsid w:val="00BA42B2"/>
    <w:rsid w:val="00BA58D4"/>
    <w:rsid w:val="00BA5B9E"/>
    <w:rsid w:val="00BA7C9A"/>
    <w:rsid w:val="00BB5F8F"/>
    <w:rsid w:val="00BB657A"/>
    <w:rsid w:val="00BC1A4E"/>
    <w:rsid w:val="00BC5DC7"/>
    <w:rsid w:val="00BC6B8B"/>
    <w:rsid w:val="00BC73D8"/>
    <w:rsid w:val="00BD52D7"/>
    <w:rsid w:val="00BD5AD2"/>
    <w:rsid w:val="00BE22F3"/>
    <w:rsid w:val="00BE2681"/>
    <w:rsid w:val="00BE5B52"/>
    <w:rsid w:val="00BE7B8D"/>
    <w:rsid w:val="00BF0993"/>
    <w:rsid w:val="00BF10A9"/>
    <w:rsid w:val="00BF1703"/>
    <w:rsid w:val="00BF20E2"/>
    <w:rsid w:val="00BF231C"/>
    <w:rsid w:val="00BF51E5"/>
    <w:rsid w:val="00BF71F0"/>
    <w:rsid w:val="00BF74A6"/>
    <w:rsid w:val="00BF7D0D"/>
    <w:rsid w:val="00C013AD"/>
    <w:rsid w:val="00C013D8"/>
    <w:rsid w:val="00C01828"/>
    <w:rsid w:val="00C04904"/>
    <w:rsid w:val="00C056B3"/>
    <w:rsid w:val="00C103E5"/>
    <w:rsid w:val="00C12761"/>
    <w:rsid w:val="00C13319"/>
    <w:rsid w:val="00C13EE9"/>
    <w:rsid w:val="00C15474"/>
    <w:rsid w:val="00C21540"/>
    <w:rsid w:val="00C21906"/>
    <w:rsid w:val="00C21BFA"/>
    <w:rsid w:val="00C23CC5"/>
    <w:rsid w:val="00C24C8D"/>
    <w:rsid w:val="00C25C4C"/>
    <w:rsid w:val="00C25FE2"/>
    <w:rsid w:val="00C26B53"/>
    <w:rsid w:val="00C279B2"/>
    <w:rsid w:val="00C30107"/>
    <w:rsid w:val="00C33E50"/>
    <w:rsid w:val="00C34C20"/>
    <w:rsid w:val="00C35009"/>
    <w:rsid w:val="00C35A3E"/>
    <w:rsid w:val="00C40EC8"/>
    <w:rsid w:val="00C42130"/>
    <w:rsid w:val="00C423A4"/>
    <w:rsid w:val="00C423E3"/>
    <w:rsid w:val="00C44BF5"/>
    <w:rsid w:val="00C503A4"/>
    <w:rsid w:val="00C51BB5"/>
    <w:rsid w:val="00C521D6"/>
    <w:rsid w:val="00C52679"/>
    <w:rsid w:val="00C52B66"/>
    <w:rsid w:val="00C55232"/>
    <w:rsid w:val="00C553A4"/>
    <w:rsid w:val="00C55A06"/>
    <w:rsid w:val="00C55D03"/>
    <w:rsid w:val="00C56C09"/>
    <w:rsid w:val="00C5786B"/>
    <w:rsid w:val="00C601BC"/>
    <w:rsid w:val="00C6329F"/>
    <w:rsid w:val="00C63340"/>
    <w:rsid w:val="00C643F9"/>
    <w:rsid w:val="00C64E95"/>
    <w:rsid w:val="00C65C6C"/>
    <w:rsid w:val="00C71372"/>
    <w:rsid w:val="00C72410"/>
    <w:rsid w:val="00C7287F"/>
    <w:rsid w:val="00C73C34"/>
    <w:rsid w:val="00C8027E"/>
    <w:rsid w:val="00C80CB8"/>
    <w:rsid w:val="00C819F8"/>
    <w:rsid w:val="00C81CCC"/>
    <w:rsid w:val="00C8248C"/>
    <w:rsid w:val="00C84794"/>
    <w:rsid w:val="00C84E33"/>
    <w:rsid w:val="00C86D6F"/>
    <w:rsid w:val="00C905FC"/>
    <w:rsid w:val="00C92A1D"/>
    <w:rsid w:val="00C92D03"/>
    <w:rsid w:val="00C9319C"/>
    <w:rsid w:val="00C9435D"/>
    <w:rsid w:val="00C94DF2"/>
    <w:rsid w:val="00C96741"/>
    <w:rsid w:val="00C9751A"/>
    <w:rsid w:val="00CA2D1B"/>
    <w:rsid w:val="00CA375D"/>
    <w:rsid w:val="00CA662A"/>
    <w:rsid w:val="00CA7AFD"/>
    <w:rsid w:val="00CA7C3C"/>
    <w:rsid w:val="00CB0189"/>
    <w:rsid w:val="00CB0BA2"/>
    <w:rsid w:val="00CB1A42"/>
    <w:rsid w:val="00CB1B0C"/>
    <w:rsid w:val="00CB2C0B"/>
    <w:rsid w:val="00CB517D"/>
    <w:rsid w:val="00CB5B31"/>
    <w:rsid w:val="00CC038D"/>
    <w:rsid w:val="00CC08DB"/>
    <w:rsid w:val="00CC290D"/>
    <w:rsid w:val="00CC39FF"/>
    <w:rsid w:val="00CC3C2F"/>
    <w:rsid w:val="00CC4AC8"/>
    <w:rsid w:val="00CC5233"/>
    <w:rsid w:val="00CC5DE6"/>
    <w:rsid w:val="00CC6E4E"/>
    <w:rsid w:val="00CC6FE8"/>
    <w:rsid w:val="00CC7202"/>
    <w:rsid w:val="00CD2808"/>
    <w:rsid w:val="00CD28BF"/>
    <w:rsid w:val="00CD4092"/>
    <w:rsid w:val="00CD4A20"/>
    <w:rsid w:val="00CD506D"/>
    <w:rsid w:val="00CD50A1"/>
    <w:rsid w:val="00CD519E"/>
    <w:rsid w:val="00CE0C4F"/>
    <w:rsid w:val="00CE30EA"/>
    <w:rsid w:val="00CE6561"/>
    <w:rsid w:val="00CE7100"/>
    <w:rsid w:val="00CF048A"/>
    <w:rsid w:val="00CF155A"/>
    <w:rsid w:val="00CF2947"/>
    <w:rsid w:val="00CF686F"/>
    <w:rsid w:val="00CF6E60"/>
    <w:rsid w:val="00CF7BCA"/>
    <w:rsid w:val="00D008FD"/>
    <w:rsid w:val="00D00F5D"/>
    <w:rsid w:val="00D0321C"/>
    <w:rsid w:val="00D035EC"/>
    <w:rsid w:val="00D06AB1"/>
    <w:rsid w:val="00D06FC1"/>
    <w:rsid w:val="00D072ED"/>
    <w:rsid w:val="00D07A16"/>
    <w:rsid w:val="00D1067E"/>
    <w:rsid w:val="00D10DC7"/>
    <w:rsid w:val="00D10F50"/>
    <w:rsid w:val="00D11272"/>
    <w:rsid w:val="00D12199"/>
    <w:rsid w:val="00D126F5"/>
    <w:rsid w:val="00D1489E"/>
    <w:rsid w:val="00D20737"/>
    <w:rsid w:val="00D20D29"/>
    <w:rsid w:val="00D21E81"/>
    <w:rsid w:val="00D223DE"/>
    <w:rsid w:val="00D25582"/>
    <w:rsid w:val="00D25E37"/>
    <w:rsid w:val="00D2661A"/>
    <w:rsid w:val="00D27582"/>
    <w:rsid w:val="00D27EC4"/>
    <w:rsid w:val="00D32719"/>
    <w:rsid w:val="00D33333"/>
    <w:rsid w:val="00D352A2"/>
    <w:rsid w:val="00D4162B"/>
    <w:rsid w:val="00D41F8D"/>
    <w:rsid w:val="00D42C6A"/>
    <w:rsid w:val="00D42E25"/>
    <w:rsid w:val="00D4436E"/>
    <w:rsid w:val="00D4514F"/>
    <w:rsid w:val="00D451E2"/>
    <w:rsid w:val="00D45E89"/>
    <w:rsid w:val="00D45E8D"/>
    <w:rsid w:val="00D466AE"/>
    <w:rsid w:val="00D4734F"/>
    <w:rsid w:val="00D51BF3"/>
    <w:rsid w:val="00D54066"/>
    <w:rsid w:val="00D66846"/>
    <w:rsid w:val="00D668CD"/>
    <w:rsid w:val="00D675FB"/>
    <w:rsid w:val="00D71F25"/>
    <w:rsid w:val="00D72A9C"/>
    <w:rsid w:val="00D72F20"/>
    <w:rsid w:val="00D72F88"/>
    <w:rsid w:val="00D74227"/>
    <w:rsid w:val="00D7550F"/>
    <w:rsid w:val="00D77031"/>
    <w:rsid w:val="00D823B4"/>
    <w:rsid w:val="00D8379A"/>
    <w:rsid w:val="00D84941"/>
    <w:rsid w:val="00D84FA1"/>
    <w:rsid w:val="00D851F0"/>
    <w:rsid w:val="00D86DB7"/>
    <w:rsid w:val="00D90721"/>
    <w:rsid w:val="00D926D0"/>
    <w:rsid w:val="00D93030"/>
    <w:rsid w:val="00D950E1"/>
    <w:rsid w:val="00D952A6"/>
    <w:rsid w:val="00D961C8"/>
    <w:rsid w:val="00D972B8"/>
    <w:rsid w:val="00D97F99"/>
    <w:rsid w:val="00DA0B7A"/>
    <w:rsid w:val="00DA1E08"/>
    <w:rsid w:val="00DA24F8"/>
    <w:rsid w:val="00DA28E8"/>
    <w:rsid w:val="00DA2C5E"/>
    <w:rsid w:val="00DA38D3"/>
    <w:rsid w:val="00DA3932"/>
    <w:rsid w:val="00DA3AFC"/>
    <w:rsid w:val="00DA64F8"/>
    <w:rsid w:val="00DA6567"/>
    <w:rsid w:val="00DA6C15"/>
    <w:rsid w:val="00DB0258"/>
    <w:rsid w:val="00DB38EE"/>
    <w:rsid w:val="00DB3E0C"/>
    <w:rsid w:val="00DB498B"/>
    <w:rsid w:val="00DB66CA"/>
    <w:rsid w:val="00DB6BCA"/>
    <w:rsid w:val="00DB6F54"/>
    <w:rsid w:val="00DB73F7"/>
    <w:rsid w:val="00DB7AB9"/>
    <w:rsid w:val="00DC0321"/>
    <w:rsid w:val="00DC3067"/>
    <w:rsid w:val="00DC370B"/>
    <w:rsid w:val="00DC5B90"/>
    <w:rsid w:val="00DD00FF"/>
    <w:rsid w:val="00DD0619"/>
    <w:rsid w:val="00DD07FB"/>
    <w:rsid w:val="00DD25C6"/>
    <w:rsid w:val="00DD4FE5"/>
    <w:rsid w:val="00DD54B0"/>
    <w:rsid w:val="00DD57EE"/>
    <w:rsid w:val="00DD656B"/>
    <w:rsid w:val="00DD6BCC"/>
    <w:rsid w:val="00DE0A4B"/>
    <w:rsid w:val="00DE2410"/>
    <w:rsid w:val="00DE2939"/>
    <w:rsid w:val="00DE6E81"/>
    <w:rsid w:val="00DE6FEA"/>
    <w:rsid w:val="00DE703F"/>
    <w:rsid w:val="00DE7595"/>
    <w:rsid w:val="00DF1961"/>
    <w:rsid w:val="00DF44DE"/>
    <w:rsid w:val="00E01138"/>
    <w:rsid w:val="00E018C2"/>
    <w:rsid w:val="00E02DFB"/>
    <w:rsid w:val="00E030F9"/>
    <w:rsid w:val="00E0311A"/>
    <w:rsid w:val="00E03138"/>
    <w:rsid w:val="00E0625B"/>
    <w:rsid w:val="00E06404"/>
    <w:rsid w:val="00E11A85"/>
    <w:rsid w:val="00E12495"/>
    <w:rsid w:val="00E14A12"/>
    <w:rsid w:val="00E15CCD"/>
    <w:rsid w:val="00E202EF"/>
    <w:rsid w:val="00E210B5"/>
    <w:rsid w:val="00E23823"/>
    <w:rsid w:val="00E2461C"/>
    <w:rsid w:val="00E2552F"/>
    <w:rsid w:val="00E258A2"/>
    <w:rsid w:val="00E270B5"/>
    <w:rsid w:val="00E301E3"/>
    <w:rsid w:val="00E3137A"/>
    <w:rsid w:val="00E32CCF"/>
    <w:rsid w:val="00E34A98"/>
    <w:rsid w:val="00E35D1E"/>
    <w:rsid w:val="00E364F9"/>
    <w:rsid w:val="00E365FA"/>
    <w:rsid w:val="00E36789"/>
    <w:rsid w:val="00E44A83"/>
    <w:rsid w:val="00E46226"/>
    <w:rsid w:val="00E502C1"/>
    <w:rsid w:val="00E502DD"/>
    <w:rsid w:val="00E50D3A"/>
    <w:rsid w:val="00E51387"/>
    <w:rsid w:val="00E51676"/>
    <w:rsid w:val="00E51E68"/>
    <w:rsid w:val="00E52EFD"/>
    <w:rsid w:val="00E5408A"/>
    <w:rsid w:val="00E56800"/>
    <w:rsid w:val="00E60C63"/>
    <w:rsid w:val="00E61C66"/>
    <w:rsid w:val="00E62FF9"/>
    <w:rsid w:val="00E635D6"/>
    <w:rsid w:val="00E639BC"/>
    <w:rsid w:val="00E664CC"/>
    <w:rsid w:val="00E667A4"/>
    <w:rsid w:val="00E70388"/>
    <w:rsid w:val="00E70F92"/>
    <w:rsid w:val="00E74313"/>
    <w:rsid w:val="00E74C54"/>
    <w:rsid w:val="00E76F2E"/>
    <w:rsid w:val="00E77532"/>
    <w:rsid w:val="00E77A03"/>
    <w:rsid w:val="00E81CD8"/>
    <w:rsid w:val="00E822E8"/>
    <w:rsid w:val="00E82554"/>
    <w:rsid w:val="00E82606"/>
    <w:rsid w:val="00E831C1"/>
    <w:rsid w:val="00E846C8"/>
    <w:rsid w:val="00E84957"/>
    <w:rsid w:val="00E84A55"/>
    <w:rsid w:val="00E85BFF"/>
    <w:rsid w:val="00E9001E"/>
    <w:rsid w:val="00E90391"/>
    <w:rsid w:val="00E906C2"/>
    <w:rsid w:val="00E9311F"/>
    <w:rsid w:val="00E934D1"/>
    <w:rsid w:val="00E94AF0"/>
    <w:rsid w:val="00E955E5"/>
    <w:rsid w:val="00E95D13"/>
    <w:rsid w:val="00E95DD3"/>
    <w:rsid w:val="00E969D5"/>
    <w:rsid w:val="00EA1674"/>
    <w:rsid w:val="00EA4414"/>
    <w:rsid w:val="00EA57B3"/>
    <w:rsid w:val="00EA58D1"/>
    <w:rsid w:val="00EA61BC"/>
    <w:rsid w:val="00EA681A"/>
    <w:rsid w:val="00EA735B"/>
    <w:rsid w:val="00EB1E69"/>
    <w:rsid w:val="00EB2086"/>
    <w:rsid w:val="00EB31ED"/>
    <w:rsid w:val="00EB3F7E"/>
    <w:rsid w:val="00EB5222"/>
    <w:rsid w:val="00EB5EDF"/>
    <w:rsid w:val="00EB60FE"/>
    <w:rsid w:val="00EB74DB"/>
    <w:rsid w:val="00EC5359"/>
    <w:rsid w:val="00EC562A"/>
    <w:rsid w:val="00ED00C3"/>
    <w:rsid w:val="00ED067A"/>
    <w:rsid w:val="00ED2B50"/>
    <w:rsid w:val="00ED5A3E"/>
    <w:rsid w:val="00ED7452"/>
    <w:rsid w:val="00EE0350"/>
    <w:rsid w:val="00EE0719"/>
    <w:rsid w:val="00EE0E80"/>
    <w:rsid w:val="00EE613F"/>
    <w:rsid w:val="00EE7295"/>
    <w:rsid w:val="00EE7869"/>
    <w:rsid w:val="00EF054A"/>
    <w:rsid w:val="00EF3235"/>
    <w:rsid w:val="00EF7E72"/>
    <w:rsid w:val="00F00CF5"/>
    <w:rsid w:val="00F01159"/>
    <w:rsid w:val="00F0135D"/>
    <w:rsid w:val="00F050AC"/>
    <w:rsid w:val="00F06D37"/>
    <w:rsid w:val="00F07B9D"/>
    <w:rsid w:val="00F11586"/>
    <w:rsid w:val="00F1183B"/>
    <w:rsid w:val="00F11C9F"/>
    <w:rsid w:val="00F12263"/>
    <w:rsid w:val="00F1409D"/>
    <w:rsid w:val="00F14214"/>
    <w:rsid w:val="00F145E9"/>
    <w:rsid w:val="00F157A9"/>
    <w:rsid w:val="00F16F00"/>
    <w:rsid w:val="00F25BB6"/>
    <w:rsid w:val="00F26B7E"/>
    <w:rsid w:val="00F278B6"/>
    <w:rsid w:val="00F27A3B"/>
    <w:rsid w:val="00F33817"/>
    <w:rsid w:val="00F3388D"/>
    <w:rsid w:val="00F420D5"/>
    <w:rsid w:val="00F425B1"/>
    <w:rsid w:val="00F451EA"/>
    <w:rsid w:val="00F45447"/>
    <w:rsid w:val="00F456C6"/>
    <w:rsid w:val="00F4577B"/>
    <w:rsid w:val="00F46496"/>
    <w:rsid w:val="00F4652C"/>
    <w:rsid w:val="00F474D0"/>
    <w:rsid w:val="00F50179"/>
    <w:rsid w:val="00F50FF2"/>
    <w:rsid w:val="00F515EE"/>
    <w:rsid w:val="00F54447"/>
    <w:rsid w:val="00F56511"/>
    <w:rsid w:val="00F56E3F"/>
    <w:rsid w:val="00F61831"/>
    <w:rsid w:val="00F6194E"/>
    <w:rsid w:val="00F623AC"/>
    <w:rsid w:val="00F6412A"/>
    <w:rsid w:val="00F65893"/>
    <w:rsid w:val="00F66A4A"/>
    <w:rsid w:val="00F71E22"/>
    <w:rsid w:val="00F72142"/>
    <w:rsid w:val="00F72AE7"/>
    <w:rsid w:val="00F74254"/>
    <w:rsid w:val="00F833BA"/>
    <w:rsid w:val="00F83FAF"/>
    <w:rsid w:val="00F84FD0"/>
    <w:rsid w:val="00F859A8"/>
    <w:rsid w:val="00F86D87"/>
    <w:rsid w:val="00F9108B"/>
    <w:rsid w:val="00F91349"/>
    <w:rsid w:val="00F9228D"/>
    <w:rsid w:val="00F92AD5"/>
    <w:rsid w:val="00F937BD"/>
    <w:rsid w:val="00F93A8A"/>
    <w:rsid w:val="00F95248"/>
    <w:rsid w:val="00F956A9"/>
    <w:rsid w:val="00F95D94"/>
    <w:rsid w:val="00F963ED"/>
    <w:rsid w:val="00F966CF"/>
    <w:rsid w:val="00F96CAE"/>
    <w:rsid w:val="00F97C99"/>
    <w:rsid w:val="00FA07B2"/>
    <w:rsid w:val="00FA2D65"/>
    <w:rsid w:val="00FA36CB"/>
    <w:rsid w:val="00FA662D"/>
    <w:rsid w:val="00FA677B"/>
    <w:rsid w:val="00FA73B1"/>
    <w:rsid w:val="00FB0CB9"/>
    <w:rsid w:val="00FB1A2B"/>
    <w:rsid w:val="00FB231D"/>
    <w:rsid w:val="00FB4217"/>
    <w:rsid w:val="00FB45F1"/>
    <w:rsid w:val="00FB4A72"/>
    <w:rsid w:val="00FB54E8"/>
    <w:rsid w:val="00FB7054"/>
    <w:rsid w:val="00FC17B7"/>
    <w:rsid w:val="00FC2CB7"/>
    <w:rsid w:val="00FC4090"/>
    <w:rsid w:val="00FC55B4"/>
    <w:rsid w:val="00FD00E6"/>
    <w:rsid w:val="00FD09A1"/>
    <w:rsid w:val="00FD2A7C"/>
    <w:rsid w:val="00FD59EB"/>
    <w:rsid w:val="00FD7299"/>
    <w:rsid w:val="00FD7CDC"/>
    <w:rsid w:val="00FE12DF"/>
    <w:rsid w:val="00FE1FBE"/>
    <w:rsid w:val="00FE3901"/>
    <w:rsid w:val="00FE39D3"/>
    <w:rsid w:val="00FE4BCE"/>
    <w:rsid w:val="00FE54AE"/>
    <w:rsid w:val="00FE576A"/>
    <w:rsid w:val="00FE7E79"/>
    <w:rsid w:val="00FF3E7D"/>
    <w:rsid w:val="00FF48C1"/>
    <w:rsid w:val="00FF5B99"/>
    <w:rsid w:val="00FF730C"/>
    <w:rsid w:val="00FF73F4"/>
    <w:rsid w:val="00FF7CE4"/>
    <w:rsid w:val="00FF7E39"/>
    <w:rsid w:val="1FFD03E0"/>
    <w:rsid w:val="41B11B3B"/>
    <w:rsid w:val="609E4CAE"/>
    <w:rsid w:val="7258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semiHidden/>
    <w:unhideWhenUsed/>
    <w:qFormat/>
    <w:uiPriority w:val="99"/>
    <w:pPr>
      <w:adjustRightInd/>
      <w:spacing w:line="240" w:lineRule="auto"/>
      <w:jc w:val="left"/>
    </w:pPr>
    <w:rPr>
      <w:rFonts w:ascii="Times New Roman" w:hAnsi="Times New Roman"/>
      <w:szCs w:val="24"/>
    </w:r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qFormat/>
    <w:uiPriority w:val="99"/>
    <w:pPr>
      <w:adjustRightInd w:val="0"/>
      <w:spacing w:line="400" w:lineRule="exact"/>
    </w:pPr>
    <w:rPr>
      <w:rFonts w:ascii="Calibri" w:hAnsi="Calibri"/>
      <w:b/>
      <w:bCs/>
      <w:szCs w:val="21"/>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页眉 Char"/>
    <w:link w:val="19"/>
    <w:qFormat/>
    <w:uiPriority w:val="99"/>
    <w:rPr>
      <w:rFonts w:ascii="Times New Roman" w:hAnsi="Times New Roman" w:eastAsia="宋体" w:cs="Times New Roman"/>
      <w:sz w:val="18"/>
      <w:szCs w:val="18"/>
    </w:rPr>
  </w:style>
  <w:style w:type="character" w:customStyle="1" w:styleId="47">
    <w:name w:val="页脚 Char"/>
    <w:link w:val="18"/>
    <w:qFormat/>
    <w:uiPriority w:val="99"/>
    <w:rPr>
      <w:rFonts w:ascii="宋体" w:hAnsi="Times New Roman" w:eastAsia="宋体" w:cs="Times New Roman"/>
      <w:sz w:val="18"/>
      <w:szCs w:val="18"/>
    </w:rPr>
  </w:style>
  <w:style w:type="character" w:customStyle="1" w:styleId="48">
    <w:name w:val="批注框文本 Char"/>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rPr>
  </w:style>
  <w:style w:type="character" w:customStyle="1" w:styleId="51">
    <w:name w:val="标题 Char"/>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left="0"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ind w:left="1134"/>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批注文字 Char"/>
    <w:basedOn w:val="30"/>
    <w:link w:val="13"/>
    <w:semiHidden/>
    <w:qFormat/>
    <w:uiPriority w:val="99"/>
    <w:rPr>
      <w:rFonts w:ascii="Times New Roman" w:hAnsi="Times New Roman"/>
      <w:kern w:val="2"/>
      <w:sz w:val="21"/>
      <w:szCs w:val="24"/>
    </w:rPr>
  </w:style>
  <w:style w:type="character" w:customStyle="1" w:styleId="234">
    <w:name w:val="批注主题 Char"/>
    <w:basedOn w:val="233"/>
    <w:link w:val="27"/>
    <w:semiHidden/>
    <w:qFormat/>
    <w:uiPriority w:val="99"/>
    <w:rPr>
      <w:rFonts w:ascii="Times New Roman" w:hAnsi="Times New Roman"/>
      <w:b/>
      <w:bCs/>
      <w:kern w:val="2"/>
      <w:sz w:val="21"/>
      <w:szCs w:val="21"/>
    </w:rPr>
  </w:style>
  <w:style w:type="character" w:customStyle="1" w:styleId="235">
    <w:name w:val="未处理的提及1"/>
    <w:basedOn w:val="30"/>
    <w:semiHidden/>
    <w:unhideWhenUsed/>
    <w:qFormat/>
    <w:uiPriority w:val="99"/>
    <w:rPr>
      <w:color w:val="605E5C"/>
      <w:shd w:val="clear" w:color="auto" w:fill="E1DFDD"/>
    </w:rPr>
  </w:style>
  <w:style w:type="paragraph" w:customStyle="1" w:styleId="236">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1.emf"/><Relationship Id="rId3" Type="http://schemas.openxmlformats.org/officeDocument/2006/relationships/footnotes" Target="footnotes.xml"/><Relationship Id="rId29" Type="http://schemas.openxmlformats.org/officeDocument/2006/relationships/image" Target="https://shop.isotope.com/SupplyImages/WF00022/ULM-7213.jpg" TargetMode="External"/><Relationship Id="rId28" Type="http://schemas.openxmlformats.org/officeDocument/2006/relationships/image" Target="media/image10.jpeg"/><Relationship Id="rId27" Type="http://schemas.openxmlformats.org/officeDocument/2006/relationships/image" Target="https://shop.isotope.com/SupplyImages/WF00022/ULM-7418.jpg" TargetMode="External"/><Relationship Id="rId26" Type="http://schemas.openxmlformats.org/officeDocument/2006/relationships/image" Target="media/image9.jpeg"/><Relationship Id="rId25" Type="http://schemas.openxmlformats.org/officeDocument/2006/relationships/image" Target="https://shop.isotope.com/SupplyImages/WF00022/ULM-9175.jpg" TargetMode="External"/><Relationship Id="rId24" Type="http://schemas.openxmlformats.org/officeDocument/2006/relationships/image" Target="media/image8.jpeg"/><Relationship Id="rId23" Type="http://schemas.openxmlformats.org/officeDocument/2006/relationships/image" Target="https://shop.isotope.com/SupplyImages/WF00022/ULM-9176.jpg" TargetMode="External"/><Relationship Id="rId22" Type="http://schemas.openxmlformats.org/officeDocument/2006/relationships/image" Target="media/image7.jpeg"/><Relationship Id="rId21" Type="http://schemas.openxmlformats.org/officeDocument/2006/relationships/image" Target="media/image6.png"/><Relationship Id="rId20" Type="http://schemas.openxmlformats.org/officeDocument/2006/relationships/image" Target="https://shop.isotope.com/SupplyImages/WF00022/ULM-6781.jpg" TargetMode="Externa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https://shop.isotope.com/SupplyImages/WF00022/ULM-9204.jpg" TargetMode="External"/><Relationship Id="rId17" Type="http://schemas.openxmlformats.org/officeDocument/2006/relationships/image" Target="media/image4.jpeg"/><Relationship Id="rId16" Type="http://schemas.openxmlformats.org/officeDocument/2006/relationships/image" Target="https://shop.isotope.com/SupplyImages/WF00006/ULM-8892.jpg" TargetMode="Externa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78A250DFE3D45AC831280FBB680A412"/>
        <w:style w:val=""/>
        <w:category>
          <w:name w:val="常规"/>
          <w:gallery w:val="placeholder"/>
        </w:category>
        <w:types>
          <w:type w:val="bbPlcHdr"/>
        </w:types>
        <w:behaviors>
          <w:behavior w:val="content"/>
        </w:behaviors>
        <w:description w:val=""/>
        <w:guid w:val="{ED6E8E33-6FAA-4AE0-8BE8-C93CC1F0E9BE}"/>
      </w:docPartPr>
      <w:docPartBody>
        <w:p w14:paraId="0F99690B">
          <w:pPr>
            <w:pStyle w:val="5"/>
          </w:pPr>
          <w:r>
            <w:rPr>
              <w:rStyle w:val="4"/>
              <w:rFonts w:hint="eastAsia"/>
            </w:rPr>
            <w:t>单击或点击此处输入文字。</w:t>
          </w:r>
        </w:p>
      </w:docPartBody>
    </w:docPart>
    <w:docPart>
      <w:docPartPr>
        <w:name w:val="651F83CFF66B46E1BDC651F10C98D37C"/>
        <w:style w:val=""/>
        <w:category>
          <w:name w:val="常规"/>
          <w:gallery w:val="placeholder"/>
        </w:category>
        <w:types>
          <w:type w:val="bbPlcHdr"/>
        </w:types>
        <w:behaviors>
          <w:behavior w:val="content"/>
        </w:behaviors>
        <w:description w:val=""/>
        <w:guid w:val="{3950CC4F-860E-41C3-8F6E-9DACE8435A6E}"/>
      </w:docPartPr>
      <w:docPartBody>
        <w:p w14:paraId="5B6E4DA4">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50"/>
    <w:rsid w:val="000241F5"/>
    <w:rsid w:val="00045881"/>
    <w:rsid w:val="0007006C"/>
    <w:rsid w:val="0007253C"/>
    <w:rsid w:val="00072FC6"/>
    <w:rsid w:val="000B53F2"/>
    <w:rsid w:val="000E07B2"/>
    <w:rsid w:val="00127E16"/>
    <w:rsid w:val="00146FEC"/>
    <w:rsid w:val="00150B8D"/>
    <w:rsid w:val="0016346A"/>
    <w:rsid w:val="00182E8A"/>
    <w:rsid w:val="00193BC9"/>
    <w:rsid w:val="001A4FF1"/>
    <w:rsid w:val="001D058D"/>
    <w:rsid w:val="003201C4"/>
    <w:rsid w:val="003531B5"/>
    <w:rsid w:val="003770A4"/>
    <w:rsid w:val="003B546B"/>
    <w:rsid w:val="003E450C"/>
    <w:rsid w:val="004015EB"/>
    <w:rsid w:val="00405947"/>
    <w:rsid w:val="00432EFD"/>
    <w:rsid w:val="00443FA0"/>
    <w:rsid w:val="00475FBD"/>
    <w:rsid w:val="00484D5C"/>
    <w:rsid w:val="00523604"/>
    <w:rsid w:val="00552119"/>
    <w:rsid w:val="00572B3B"/>
    <w:rsid w:val="0058177C"/>
    <w:rsid w:val="005A2081"/>
    <w:rsid w:val="005C758F"/>
    <w:rsid w:val="0061642E"/>
    <w:rsid w:val="00680A2A"/>
    <w:rsid w:val="006E53DB"/>
    <w:rsid w:val="007156FB"/>
    <w:rsid w:val="00760AAE"/>
    <w:rsid w:val="00780FB7"/>
    <w:rsid w:val="00795CD0"/>
    <w:rsid w:val="007B57E2"/>
    <w:rsid w:val="007E5BF1"/>
    <w:rsid w:val="00865074"/>
    <w:rsid w:val="008661EB"/>
    <w:rsid w:val="00871B5A"/>
    <w:rsid w:val="0087610B"/>
    <w:rsid w:val="008A150A"/>
    <w:rsid w:val="008B3CB6"/>
    <w:rsid w:val="009115A7"/>
    <w:rsid w:val="009207DB"/>
    <w:rsid w:val="00947650"/>
    <w:rsid w:val="009632BC"/>
    <w:rsid w:val="00985792"/>
    <w:rsid w:val="00997A00"/>
    <w:rsid w:val="00A31918"/>
    <w:rsid w:val="00AA6869"/>
    <w:rsid w:val="00B04D0C"/>
    <w:rsid w:val="00B05B8A"/>
    <w:rsid w:val="00BB0852"/>
    <w:rsid w:val="00C16DAD"/>
    <w:rsid w:val="00C745AC"/>
    <w:rsid w:val="00CF0B00"/>
    <w:rsid w:val="00D07719"/>
    <w:rsid w:val="00D60EA2"/>
    <w:rsid w:val="00E22BA7"/>
    <w:rsid w:val="00E50F60"/>
    <w:rsid w:val="00E869B3"/>
    <w:rsid w:val="00EB3F7E"/>
    <w:rsid w:val="00F40D8E"/>
    <w:rsid w:val="00F55D5E"/>
    <w:rsid w:val="00F76BDB"/>
    <w:rsid w:val="00FA3748"/>
    <w:rsid w:val="00FB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78A250DFE3D45AC831280FBB680A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1F83CFF66B46E1BDC651F10C98D37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AA0F2-425E-4FC1-88A4-D61115588896}">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14</Pages>
  <Words>5293</Words>
  <Characters>7364</Characters>
  <Lines>107</Lines>
  <Paragraphs>30</Paragraphs>
  <TotalTime>223</TotalTime>
  <ScaleCrop>false</ScaleCrop>
  <LinksUpToDate>false</LinksUpToDate>
  <CharactersWithSpaces>7557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2024-11-08T07:11:00Z</dcterms:created>
  <dc:creator>张续</dc:creator>
  <dc:description>&lt;config cover="true" show_menu="true" version="1.0.0" doctype="SDKXY"&gt;_x000d_
&lt;/config&gt;</dc:description>
  <cp:lastModifiedBy>zhangsir</cp:lastModifiedBy>
  <cp:lastPrinted>2024-11-08T08:37:00Z</cp:lastPrinted>
  <dcterms:modified xsi:type="dcterms:W3CDTF">2025-07-18T08:26:08Z</dcterms:modified>
  <dc:title>团体标准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eyJoZGlkIjoiZjQ0MjUzMTI3YTk3NzdkOTNkNTc2MThiOWE2OWUzNzUiLCJ1c2VySWQiOiIzMjkzNTA1OTEifQ==</vt:lpwstr>
  </property>
  <property fmtid="{D5CDD505-2E9C-101B-9397-08002B2CF9AE}" pid="15" name="KSOProductBuildVer">
    <vt:lpwstr>2052-12.1.0.21915</vt:lpwstr>
  </property>
  <property fmtid="{D5CDD505-2E9C-101B-9397-08002B2CF9AE}" pid="16" name="ICV">
    <vt:lpwstr>79C7238EECC6428C823ABA69595F47DD_12</vt:lpwstr>
  </property>
</Properties>
</file>