
<file path=[Content_Types].xml><?xml version="1.0" encoding="utf-8"?>
<Types xmlns="http://schemas.openxmlformats.org/package/2006/content-types">
  <Default Extension="xml" ContentType="application/xml"/>
  <Default Extension="png" ContentType="image/png"/>
  <Default Extension="gif" ContentType="image/gi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577C5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5D2A97A">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76F72399">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点击此处添加ICS号</w:t>
            </w:r>
            <w:r>
              <w:rPr>
                <w:rFonts w:ascii="黑体" w:hAnsi="黑体" w:eastAsia="黑体"/>
                <w:sz w:val="21"/>
                <w:szCs w:val="21"/>
              </w:rPr>
              <w:fldChar w:fldCharType="end"/>
            </w:r>
            <w:bookmarkEnd w:id="0"/>
          </w:p>
        </w:tc>
      </w:tr>
      <w:tr w14:paraId="6D0BF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625B469">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7"/>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70B8938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6F3D2AFC">
                  <w:pPr>
                    <w:pStyle w:val="49"/>
                    <w:framePr w:wrap="notBeside" w:vAnchor="page" w:hAnchor="page" w:x="1372" w:y="568"/>
                    <w:ind w:left="420" w:right="624"/>
                    <w:rPr>
                      <w:rFonts w:ascii="宋体" w:hAnsi="宋体"/>
                      <w:sz w:val="28"/>
                      <w:szCs w:val="28"/>
                    </w:rPr>
                  </w:pPr>
                  <w:r>
                    <w:drawing>
                      <wp:inline distT="0" distB="0" distL="0" distR="0">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drawing>
                      <wp:inline distT="0" distB="0" distL="0" distR="0">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t>     </w:t>
                  </w:r>
                  <w:r>
                    <w:fldChar w:fldCharType="end"/>
                  </w:r>
                  <w:bookmarkEnd w:id="1"/>
                </w:p>
              </w:tc>
            </w:tr>
          </w:tbl>
          <w:p w14:paraId="26686DFA">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2"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点击此处添加CCS号</w:t>
            </w:r>
            <w:r>
              <w:rPr>
                <w:rFonts w:ascii="黑体" w:hAnsi="黑体" w:eastAsia="黑体"/>
                <w:sz w:val="21"/>
                <w:szCs w:val="21"/>
              </w:rPr>
              <w:fldChar w:fldCharType="end"/>
            </w:r>
            <w:bookmarkEnd w:id="2"/>
          </w:p>
        </w:tc>
      </w:tr>
    </w:tbl>
    <w:p w14:paraId="786FD1F8">
      <w:pPr>
        <w:pStyle w:val="50"/>
        <w:framePr w:w="9639" w:h="624" w:hRule="exact" w:hSpace="181" w:vSpace="181" w:wrap="around" w:hAnchor="page" w:x="1305" w:y="2269"/>
        <w:rPr>
          <w:rFonts w:ascii="黑体" w:hAnsi="黑体" w:eastAsia="黑体"/>
          <w:b w:val="0"/>
          <w:bCs w:val="0"/>
          <w:w w:val="100"/>
          <w:sz w:val="48"/>
          <w:szCs w:val="48"/>
        </w:rPr>
      </w:pPr>
      <w:bookmarkStart w:id="3" w:name="_Hlk26473981"/>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ascii="黑体" w:eastAsia="黑体"/>
          <w:b w:val="0"/>
          <w:w w:val="100"/>
          <w:sz w:val="48"/>
        </w:rPr>
        <w:t>     </w:t>
      </w:r>
      <w:r>
        <w:rPr>
          <w:rFonts w:ascii="黑体" w:eastAsia="黑体"/>
          <w:b w:val="0"/>
          <w:w w:val="100"/>
          <w:sz w:val="48"/>
        </w:rPr>
        <w:fldChar w:fldCharType="end"/>
      </w:r>
      <w:bookmarkEnd w:id="4"/>
      <w:r>
        <w:rPr>
          <w:rFonts w:hint="eastAsia" w:ascii="黑体" w:eastAsia="黑体"/>
          <w:b w:val="0"/>
          <w:w w:val="100"/>
          <w:sz w:val="48"/>
        </w:rPr>
        <w:t>团体</w:t>
      </w:r>
      <w:r>
        <w:rPr>
          <w:rFonts w:hint="eastAsia" w:ascii="黑体" w:hAnsi="黑体" w:eastAsia="黑体"/>
          <w:b w:val="0"/>
          <w:bCs w:val="0"/>
          <w:w w:val="100"/>
          <w:sz w:val="48"/>
          <w:szCs w:val="48"/>
        </w:rPr>
        <w:t>标准</w:t>
      </w:r>
    </w:p>
    <w:bookmarkEnd w:id="3"/>
    <w:p w14:paraId="09D2B32C">
      <w:pPr>
        <w:pStyle w:val="195"/>
      </w:pPr>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t>XXX</w:t>
      </w:r>
      <w:r>
        <w:fldChar w:fldCharType="end"/>
      </w:r>
      <w:bookmarkEnd w:id="5"/>
      <w:r>
        <w:t xml:space="preserve"> </w:t>
      </w:r>
      <w:r>
        <w:fldChar w:fldCharType="begin">
          <w:ffData>
            <w:name w:val="NSTD_CODE_F"/>
            <w:enabled/>
            <w:calcOnExit w:val="0"/>
            <w:textInput>
              <w:default w:val="XXXX"/>
            </w:textInput>
          </w:ffData>
        </w:fldChar>
      </w:r>
      <w:bookmarkStart w:id="6" w:name="NSTD_CODE_F"/>
      <w:r>
        <w:instrText xml:space="preserve"> FORMTEXT </w:instrText>
      </w:r>
      <w:r>
        <w:fldChar w:fldCharType="separate"/>
      </w:r>
      <w:r>
        <w:t>XXXX</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XXXX</w:t>
      </w:r>
      <w:r>
        <w:fldChar w:fldCharType="end"/>
      </w:r>
      <w:bookmarkEnd w:id="7"/>
    </w:p>
    <w:p w14:paraId="079C7918">
      <w:pPr>
        <w:pStyle w:val="196"/>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2160AF0B">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08691590">
      <w:pPr>
        <w:pStyle w:val="50"/>
        <w:framePr w:w="9639" w:h="6976" w:hRule="exact" w:hSpace="0" w:vSpace="0" w:wrap="around" w:hAnchor="page" w:y="6408"/>
        <w:jc w:val="center"/>
        <w:rPr>
          <w:rFonts w:ascii="黑体" w:hAnsi="黑体" w:eastAsia="黑体"/>
          <w:b w:val="0"/>
          <w:bCs w:val="0"/>
          <w:w w:val="100"/>
        </w:rPr>
      </w:pPr>
    </w:p>
    <w:p w14:paraId="6A591A84">
      <w:pPr>
        <w:pStyle w:val="197"/>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人体尿液</w:t>
      </w:r>
      <w:r>
        <w:rPr>
          <w:rFonts w:hint="eastAsia"/>
          <w:lang w:eastAsia="zh-CN"/>
        </w:rPr>
        <w:t>中多种</w:t>
      </w:r>
      <w:r>
        <w:t>抗生素的测定</w:t>
      </w:r>
      <w:r>
        <w:cr/>
      </w:r>
      <w:r>
        <w:t>液相色谱串联质谱法</w:t>
      </w:r>
      <w:r>
        <w:fldChar w:fldCharType="end"/>
      </w:r>
      <w:bookmarkEnd w:id="9"/>
    </w:p>
    <w:p w14:paraId="79D09657">
      <w:pPr>
        <w:framePr w:w="9639" w:h="6974" w:hRule="exact" w:wrap="around" w:vAnchor="page" w:hAnchor="page" w:x="1419" w:y="6408" w:anchorLock="1"/>
        <w:ind w:left="-1418"/>
      </w:pPr>
    </w:p>
    <w:p w14:paraId="6EFDBC78">
      <w:pPr>
        <w:pStyle w:val="125"/>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fldChar w:fldCharType="separate"/>
      </w:r>
      <w:r>
        <w:rPr>
          <w:rFonts w:eastAsia="黑体"/>
          <w:szCs w:val="28"/>
        </w:rPr>
        <w:t xml:space="preserve">Determination of </w:t>
      </w:r>
      <w:r>
        <w:rPr>
          <w:rFonts w:hint="eastAsia" w:eastAsia="黑体"/>
          <w:szCs w:val="28"/>
        </w:rPr>
        <w:t>a</w:t>
      </w:r>
      <w:r>
        <w:rPr>
          <w:rFonts w:eastAsia="黑体"/>
          <w:szCs w:val="28"/>
        </w:rPr>
        <w:t>ntibiotic</w:t>
      </w:r>
      <w:r>
        <w:rPr>
          <w:rFonts w:hint="eastAsia" w:eastAsia="黑体"/>
          <w:szCs w:val="28"/>
        </w:rPr>
        <w:t>s</w:t>
      </w:r>
      <w:r>
        <w:rPr>
          <w:rFonts w:eastAsia="黑体"/>
          <w:szCs w:val="28"/>
        </w:rPr>
        <w:t xml:space="preserve"> in </w:t>
      </w:r>
      <w:r>
        <w:rPr>
          <w:rFonts w:hint="eastAsia" w:eastAsia="黑体"/>
          <w:szCs w:val="28"/>
        </w:rPr>
        <w:t>h</w:t>
      </w:r>
      <w:r>
        <w:rPr>
          <w:rFonts w:eastAsia="黑体"/>
          <w:szCs w:val="28"/>
        </w:rPr>
        <w:t xml:space="preserve">uman </w:t>
      </w:r>
      <w:r>
        <w:rPr>
          <w:rFonts w:hint="eastAsia" w:eastAsia="黑体"/>
          <w:szCs w:val="28"/>
        </w:rPr>
        <w:t>u</w:t>
      </w:r>
      <w:r>
        <w:rPr>
          <w:rFonts w:eastAsia="黑体"/>
          <w:szCs w:val="28"/>
        </w:rPr>
        <w:t>rine</w:t>
      </w:r>
      <w:r>
        <w:rPr>
          <w:rFonts w:hint="eastAsia" w:eastAsia="黑体"/>
          <w:szCs w:val="28"/>
        </w:rPr>
        <w:t>—</w:t>
      </w:r>
    </w:p>
    <w:p w14:paraId="6692F551">
      <w:pPr>
        <w:pStyle w:val="125"/>
        <w:framePr w:w="9639" w:h="6974" w:hRule="exact" w:wrap="around" w:vAnchor="page" w:hAnchor="page" w:x="1419" w:y="6408" w:anchorLock="1"/>
        <w:textAlignment w:val="bottom"/>
        <w:rPr>
          <w:rFonts w:eastAsia="黑体"/>
          <w:szCs w:val="28"/>
        </w:rPr>
      </w:pPr>
      <w:r>
        <w:rPr>
          <w:rFonts w:eastAsia="黑体"/>
          <w:szCs w:val="28"/>
        </w:rPr>
        <w:t xml:space="preserve">Liquid </w:t>
      </w:r>
      <w:r>
        <w:rPr>
          <w:rFonts w:hint="eastAsia" w:eastAsia="黑体"/>
          <w:szCs w:val="28"/>
        </w:rPr>
        <w:t>c</w:t>
      </w:r>
      <w:r>
        <w:rPr>
          <w:rFonts w:eastAsia="黑体"/>
          <w:szCs w:val="28"/>
        </w:rPr>
        <w:t xml:space="preserve">hromatography </w:t>
      </w:r>
      <w:r>
        <w:rPr>
          <w:rFonts w:hint="eastAsia" w:eastAsia="黑体"/>
          <w:szCs w:val="28"/>
        </w:rPr>
        <w:t>t</w:t>
      </w:r>
      <w:r>
        <w:rPr>
          <w:rFonts w:eastAsia="黑体"/>
          <w:szCs w:val="28"/>
        </w:rPr>
        <w:t xml:space="preserve">andem </w:t>
      </w:r>
      <w:r>
        <w:rPr>
          <w:rFonts w:hint="eastAsia" w:eastAsia="黑体"/>
          <w:szCs w:val="28"/>
        </w:rPr>
        <w:t>m</w:t>
      </w:r>
      <w:r>
        <w:rPr>
          <w:rFonts w:eastAsia="黑体"/>
          <w:szCs w:val="28"/>
        </w:rPr>
        <w:t xml:space="preserve">ass </w:t>
      </w:r>
      <w:r>
        <w:rPr>
          <w:rFonts w:hint="eastAsia" w:eastAsia="黑体"/>
          <w:szCs w:val="28"/>
        </w:rPr>
        <w:t>s</w:t>
      </w:r>
      <w:r>
        <w:rPr>
          <w:rFonts w:eastAsia="黑体"/>
          <w:szCs w:val="28"/>
        </w:rPr>
        <w:t>pectrometry</w:t>
      </w:r>
      <w:r>
        <w:rPr>
          <w:rFonts w:eastAsia="黑体"/>
          <w:szCs w:val="28"/>
        </w:rPr>
        <w:fldChar w:fldCharType="end"/>
      </w:r>
      <w:bookmarkEnd w:id="10"/>
    </w:p>
    <w:p w14:paraId="19B91BB2">
      <w:pPr>
        <w:framePr w:w="9639" w:h="6974" w:hRule="exact" w:wrap="around" w:vAnchor="page" w:hAnchor="page" w:x="1419" w:y="6408" w:anchorLock="1"/>
        <w:spacing w:line="760" w:lineRule="exact"/>
        <w:ind w:left="-1418"/>
      </w:pPr>
    </w:p>
    <w:p w14:paraId="1286B4BA">
      <w:pPr>
        <w:pStyle w:val="125"/>
        <w:framePr w:w="9639" w:h="6974" w:hRule="exact" w:wrap="around" w:vAnchor="page" w:hAnchor="page" w:x="1419" w:y="6408" w:anchorLock="1"/>
        <w:textAlignment w:val="bottom"/>
        <w:rPr>
          <w:rFonts w:eastAsia="黑体"/>
          <w:szCs w:val="28"/>
        </w:rPr>
      </w:pPr>
    </w:p>
    <w:p w14:paraId="317CB3DA">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14:paraId="5BE15F50">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14:paraId="0F0ADB4F">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14:paraId="34A30AE6">
      <w:pPr>
        <w:pStyle w:val="193"/>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14:paraId="15FF1643">
      <w:pPr>
        <w:pStyle w:val="194"/>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14:paraId="070888AC">
      <w:pPr>
        <w:pStyle w:val="151"/>
        <w:framePr w:h="584" w:hRule="exact" w:hSpace="181" w:vSpace="181" w:wrap="around" w:y="14800"/>
        <w:rPr>
          <w:rFonts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Ansi="黑体"/>
          <w:w w:val="100"/>
          <w:sz w:val="28"/>
        </w:rPr>
        <w:t>     </w:t>
      </w:r>
      <w:r>
        <w:rPr>
          <w:rFonts w:hAnsi="黑体"/>
          <w:w w:val="100"/>
          <w:sz w:val="28"/>
        </w:rPr>
        <w:fldChar w:fldCharType="end"/>
      </w:r>
      <w:bookmarkEnd w:id="20"/>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1D503646">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6B2E75D8">
      <w:pPr>
        <w:pStyle w:val="91"/>
        <w:spacing w:after="360"/>
      </w:pPr>
      <w:bookmarkStart w:id="21" w:name="BookMark1"/>
      <w:bookmarkStart w:id="22" w:name="_Toc201759902"/>
      <w:r>
        <w:rPr>
          <w:rFonts w:hint="eastAsia"/>
          <w:spacing w:val="320"/>
        </w:rPr>
        <w:t>目</w:t>
      </w:r>
      <w:r>
        <w:rPr>
          <w:rFonts w:hint="eastAsia"/>
        </w:rPr>
        <w:t>次</w:t>
      </w:r>
    </w:p>
    <w:p w14:paraId="7C3B0727">
      <w:pPr>
        <w:pStyle w:val="19"/>
        <w:tabs>
          <w:tab w:val="right" w:leader="dot" w:pos="9344"/>
        </w:tabs>
        <w:rPr>
          <w:rFonts w:asciiTheme="minorHAnsi" w:hAnsiTheme="minorHAnsi" w:eastAsiaTheme="minorEastAsia" w:cstheme="minorBidi"/>
          <w:szCs w:val="22"/>
        </w:rPr>
      </w:pPr>
      <w:r>
        <w:fldChar w:fldCharType="begin"/>
      </w:r>
      <w:r>
        <w:instrText xml:space="preserve"> TOC \o "1-1" \h </w:instrText>
      </w:r>
      <w:r>
        <w:fldChar w:fldCharType="separate"/>
      </w:r>
      <w:r>
        <w:fldChar w:fldCharType="begin"/>
      </w:r>
      <w:r>
        <w:instrText xml:space="preserve"> HYPERLINK \l "_Toc201759947" </w:instrText>
      </w:r>
      <w:r>
        <w:fldChar w:fldCharType="separate"/>
      </w:r>
      <w:r>
        <w:rPr>
          <w:rStyle w:val="32"/>
          <w:rFonts w:hint="eastAsia"/>
        </w:rPr>
        <w:t>前言</w:t>
      </w:r>
      <w:r>
        <w:tab/>
      </w:r>
      <w:r>
        <w:fldChar w:fldCharType="begin"/>
      </w:r>
      <w:r>
        <w:instrText xml:space="preserve"> PAGEREF _Toc201759947 \h </w:instrText>
      </w:r>
      <w:r>
        <w:fldChar w:fldCharType="separate"/>
      </w:r>
      <w:r>
        <w:t>II</w:t>
      </w:r>
      <w:r>
        <w:fldChar w:fldCharType="end"/>
      </w:r>
      <w:r>
        <w:fldChar w:fldCharType="end"/>
      </w:r>
    </w:p>
    <w:p w14:paraId="018A068E">
      <w:pPr>
        <w:pStyle w:val="19"/>
        <w:tabs>
          <w:tab w:val="right" w:leader="dot" w:pos="9344"/>
        </w:tabs>
        <w:rPr>
          <w:rFonts w:asciiTheme="minorHAnsi" w:hAnsiTheme="minorHAnsi" w:eastAsiaTheme="minorEastAsia" w:cstheme="minorBidi"/>
          <w:szCs w:val="22"/>
        </w:rPr>
      </w:pPr>
      <w:r>
        <w:fldChar w:fldCharType="begin"/>
      </w:r>
      <w:r>
        <w:instrText xml:space="preserve"> HYPERLINK \l "_Toc201759948" </w:instrText>
      </w:r>
      <w:r>
        <w:fldChar w:fldCharType="separate"/>
      </w:r>
      <w:r>
        <w:rPr>
          <w:rStyle w:val="32"/>
          <w:rFonts w:hint="eastAsia"/>
        </w:rPr>
        <w:t>引言</w:t>
      </w:r>
      <w:r>
        <w:tab/>
      </w:r>
      <w:r>
        <w:fldChar w:fldCharType="begin"/>
      </w:r>
      <w:r>
        <w:instrText xml:space="preserve"> PAGEREF _Toc201759948 \h </w:instrText>
      </w:r>
      <w:r>
        <w:fldChar w:fldCharType="separate"/>
      </w:r>
      <w:r>
        <w:t>III</w:t>
      </w:r>
      <w:r>
        <w:fldChar w:fldCharType="end"/>
      </w:r>
      <w:r>
        <w:fldChar w:fldCharType="end"/>
      </w:r>
    </w:p>
    <w:p w14:paraId="372F02F5">
      <w:pPr>
        <w:pStyle w:val="19"/>
        <w:tabs>
          <w:tab w:val="right" w:leader="dot" w:pos="9344"/>
        </w:tabs>
        <w:rPr>
          <w:rFonts w:asciiTheme="minorHAnsi" w:hAnsiTheme="minorHAnsi" w:eastAsiaTheme="minorEastAsia" w:cstheme="minorBidi"/>
          <w:szCs w:val="22"/>
        </w:rPr>
      </w:pPr>
      <w:r>
        <w:fldChar w:fldCharType="begin"/>
      </w:r>
      <w:r>
        <w:instrText xml:space="preserve"> HYPERLINK \l "_Toc201759949" </w:instrText>
      </w:r>
      <w:r>
        <w:fldChar w:fldCharType="separate"/>
      </w:r>
      <w:r>
        <w:rPr>
          <w:rStyle w:val="32"/>
        </w:rPr>
        <w:t xml:space="preserve">1 </w:t>
      </w:r>
      <w:r>
        <w:rPr>
          <w:rStyle w:val="32"/>
          <w:rFonts w:hint="eastAsia"/>
        </w:rPr>
        <w:t xml:space="preserve"> 范围</w:t>
      </w:r>
      <w:r>
        <w:tab/>
      </w:r>
      <w:r>
        <w:fldChar w:fldCharType="begin"/>
      </w:r>
      <w:r>
        <w:instrText xml:space="preserve"> PAGEREF _Toc201759949 \h </w:instrText>
      </w:r>
      <w:r>
        <w:fldChar w:fldCharType="separate"/>
      </w:r>
      <w:r>
        <w:t>1</w:t>
      </w:r>
      <w:r>
        <w:fldChar w:fldCharType="end"/>
      </w:r>
      <w:r>
        <w:fldChar w:fldCharType="end"/>
      </w:r>
    </w:p>
    <w:p w14:paraId="71DD5CB3">
      <w:pPr>
        <w:pStyle w:val="19"/>
        <w:tabs>
          <w:tab w:val="right" w:leader="dot" w:pos="9344"/>
        </w:tabs>
        <w:rPr>
          <w:rFonts w:asciiTheme="minorHAnsi" w:hAnsiTheme="minorHAnsi" w:eastAsiaTheme="minorEastAsia" w:cstheme="minorBidi"/>
          <w:szCs w:val="22"/>
        </w:rPr>
      </w:pPr>
      <w:r>
        <w:fldChar w:fldCharType="begin"/>
      </w:r>
      <w:r>
        <w:instrText xml:space="preserve"> HYPERLINK \l "_Toc201759950" </w:instrText>
      </w:r>
      <w:r>
        <w:fldChar w:fldCharType="separate"/>
      </w:r>
      <w:r>
        <w:rPr>
          <w:rStyle w:val="32"/>
        </w:rPr>
        <w:t xml:space="preserve">2 </w:t>
      </w:r>
      <w:r>
        <w:rPr>
          <w:rStyle w:val="32"/>
          <w:rFonts w:hint="eastAsia"/>
        </w:rPr>
        <w:t xml:space="preserve"> 规范性引用文件</w:t>
      </w:r>
      <w:r>
        <w:tab/>
      </w:r>
      <w:r>
        <w:fldChar w:fldCharType="begin"/>
      </w:r>
      <w:r>
        <w:instrText xml:space="preserve"> PAGEREF _Toc201759950 \h </w:instrText>
      </w:r>
      <w:r>
        <w:fldChar w:fldCharType="separate"/>
      </w:r>
      <w:r>
        <w:t>1</w:t>
      </w:r>
      <w:r>
        <w:fldChar w:fldCharType="end"/>
      </w:r>
      <w:r>
        <w:fldChar w:fldCharType="end"/>
      </w:r>
    </w:p>
    <w:p w14:paraId="2B38C2DB">
      <w:pPr>
        <w:pStyle w:val="19"/>
        <w:tabs>
          <w:tab w:val="right" w:leader="dot" w:pos="9344"/>
        </w:tabs>
        <w:rPr>
          <w:rFonts w:asciiTheme="minorHAnsi" w:hAnsiTheme="minorHAnsi" w:eastAsiaTheme="minorEastAsia" w:cstheme="minorBidi"/>
          <w:szCs w:val="22"/>
        </w:rPr>
      </w:pPr>
      <w:r>
        <w:fldChar w:fldCharType="begin"/>
      </w:r>
      <w:r>
        <w:instrText xml:space="preserve"> HYPERLINK \l "_Toc201759951" </w:instrText>
      </w:r>
      <w:r>
        <w:fldChar w:fldCharType="separate"/>
      </w:r>
      <w:r>
        <w:rPr>
          <w:rStyle w:val="32"/>
        </w:rPr>
        <w:t xml:space="preserve">3 </w:t>
      </w:r>
      <w:r>
        <w:rPr>
          <w:rStyle w:val="32"/>
          <w:rFonts w:hint="eastAsia"/>
        </w:rPr>
        <w:t xml:space="preserve"> 术语和定义</w:t>
      </w:r>
      <w:r>
        <w:tab/>
      </w:r>
      <w:r>
        <w:fldChar w:fldCharType="begin"/>
      </w:r>
      <w:r>
        <w:instrText xml:space="preserve"> PAGEREF _Toc201759951 \h </w:instrText>
      </w:r>
      <w:r>
        <w:fldChar w:fldCharType="separate"/>
      </w:r>
      <w:r>
        <w:t>1</w:t>
      </w:r>
      <w:r>
        <w:fldChar w:fldCharType="end"/>
      </w:r>
      <w:r>
        <w:fldChar w:fldCharType="end"/>
      </w:r>
    </w:p>
    <w:p w14:paraId="44C7EC49">
      <w:pPr>
        <w:pStyle w:val="19"/>
        <w:tabs>
          <w:tab w:val="right" w:leader="dot" w:pos="9344"/>
        </w:tabs>
        <w:rPr>
          <w:rFonts w:asciiTheme="minorHAnsi" w:hAnsiTheme="minorHAnsi" w:eastAsiaTheme="minorEastAsia" w:cstheme="minorBidi"/>
          <w:szCs w:val="22"/>
        </w:rPr>
      </w:pPr>
      <w:r>
        <w:fldChar w:fldCharType="begin"/>
      </w:r>
      <w:r>
        <w:instrText xml:space="preserve"> HYPERLINK \l "_Toc201759952" </w:instrText>
      </w:r>
      <w:r>
        <w:fldChar w:fldCharType="separate"/>
      </w:r>
      <w:r>
        <w:rPr>
          <w:rStyle w:val="32"/>
        </w:rPr>
        <w:t xml:space="preserve">4 </w:t>
      </w:r>
      <w:r>
        <w:rPr>
          <w:rStyle w:val="32"/>
          <w:rFonts w:hint="eastAsia"/>
        </w:rPr>
        <w:t xml:space="preserve"> 原理</w:t>
      </w:r>
      <w:r>
        <w:tab/>
      </w:r>
      <w:r>
        <w:fldChar w:fldCharType="begin"/>
      </w:r>
      <w:r>
        <w:instrText xml:space="preserve"> PAGEREF _Toc201759952 \h </w:instrText>
      </w:r>
      <w:r>
        <w:fldChar w:fldCharType="separate"/>
      </w:r>
      <w:r>
        <w:t>1</w:t>
      </w:r>
      <w:r>
        <w:fldChar w:fldCharType="end"/>
      </w:r>
      <w:r>
        <w:fldChar w:fldCharType="end"/>
      </w:r>
    </w:p>
    <w:p w14:paraId="6623E3CE">
      <w:pPr>
        <w:pStyle w:val="19"/>
        <w:tabs>
          <w:tab w:val="right" w:leader="dot" w:pos="9344"/>
        </w:tabs>
        <w:rPr>
          <w:rFonts w:asciiTheme="minorHAnsi" w:hAnsiTheme="minorHAnsi" w:eastAsiaTheme="minorEastAsia" w:cstheme="minorBidi"/>
          <w:szCs w:val="22"/>
        </w:rPr>
      </w:pPr>
      <w:r>
        <w:fldChar w:fldCharType="begin"/>
      </w:r>
      <w:r>
        <w:instrText xml:space="preserve"> HYPERLINK \l "_Toc201759953" </w:instrText>
      </w:r>
      <w:r>
        <w:fldChar w:fldCharType="separate"/>
      </w:r>
      <w:r>
        <w:rPr>
          <w:rStyle w:val="32"/>
        </w:rPr>
        <w:t xml:space="preserve">5 </w:t>
      </w:r>
      <w:r>
        <w:rPr>
          <w:rStyle w:val="32"/>
          <w:rFonts w:hint="eastAsia"/>
        </w:rPr>
        <w:t xml:space="preserve"> 试剂或材料</w:t>
      </w:r>
      <w:r>
        <w:tab/>
      </w:r>
      <w:r>
        <w:fldChar w:fldCharType="begin"/>
      </w:r>
      <w:r>
        <w:instrText xml:space="preserve"> PAGEREF _Toc201759953 \h </w:instrText>
      </w:r>
      <w:r>
        <w:fldChar w:fldCharType="separate"/>
      </w:r>
      <w:r>
        <w:t>1</w:t>
      </w:r>
      <w:r>
        <w:fldChar w:fldCharType="end"/>
      </w:r>
      <w:r>
        <w:fldChar w:fldCharType="end"/>
      </w:r>
    </w:p>
    <w:p w14:paraId="12AA0839">
      <w:pPr>
        <w:pStyle w:val="19"/>
        <w:tabs>
          <w:tab w:val="right" w:leader="dot" w:pos="9344"/>
        </w:tabs>
        <w:rPr>
          <w:rFonts w:asciiTheme="minorHAnsi" w:hAnsiTheme="minorHAnsi" w:eastAsiaTheme="minorEastAsia" w:cstheme="minorBidi"/>
          <w:szCs w:val="22"/>
        </w:rPr>
      </w:pPr>
      <w:r>
        <w:fldChar w:fldCharType="begin"/>
      </w:r>
      <w:r>
        <w:instrText xml:space="preserve"> HYPERLINK \l "_Toc201759954" </w:instrText>
      </w:r>
      <w:r>
        <w:fldChar w:fldCharType="separate"/>
      </w:r>
      <w:r>
        <w:rPr>
          <w:rStyle w:val="32"/>
        </w:rPr>
        <w:t xml:space="preserve">6 </w:t>
      </w:r>
      <w:r>
        <w:rPr>
          <w:rStyle w:val="32"/>
          <w:rFonts w:hint="eastAsia"/>
        </w:rPr>
        <w:t xml:space="preserve"> 仪器设备</w:t>
      </w:r>
      <w:r>
        <w:tab/>
      </w:r>
      <w:r>
        <w:fldChar w:fldCharType="begin"/>
      </w:r>
      <w:r>
        <w:instrText xml:space="preserve"> PAGEREF _Toc201759954 \h </w:instrText>
      </w:r>
      <w:r>
        <w:fldChar w:fldCharType="separate"/>
      </w:r>
      <w:r>
        <w:t>1</w:t>
      </w:r>
      <w:r>
        <w:fldChar w:fldCharType="end"/>
      </w:r>
      <w:r>
        <w:fldChar w:fldCharType="end"/>
      </w:r>
    </w:p>
    <w:p w14:paraId="27E1B4D3">
      <w:pPr>
        <w:pStyle w:val="19"/>
        <w:tabs>
          <w:tab w:val="right" w:leader="dot" w:pos="9344"/>
        </w:tabs>
        <w:rPr>
          <w:rFonts w:asciiTheme="minorHAnsi" w:hAnsiTheme="minorHAnsi" w:eastAsiaTheme="minorEastAsia" w:cstheme="minorBidi"/>
          <w:szCs w:val="22"/>
        </w:rPr>
      </w:pPr>
      <w:r>
        <w:fldChar w:fldCharType="begin"/>
      </w:r>
      <w:r>
        <w:instrText xml:space="preserve"> HYPERLINK \l "_Toc201759955" </w:instrText>
      </w:r>
      <w:r>
        <w:fldChar w:fldCharType="separate"/>
      </w:r>
      <w:r>
        <w:rPr>
          <w:rStyle w:val="32"/>
        </w:rPr>
        <w:t xml:space="preserve">7 </w:t>
      </w:r>
      <w:r>
        <w:rPr>
          <w:rStyle w:val="32"/>
          <w:rFonts w:hint="eastAsia"/>
        </w:rPr>
        <w:t xml:space="preserve"> 样品采集、运输和保存</w:t>
      </w:r>
      <w:r>
        <w:tab/>
      </w:r>
      <w:r>
        <w:fldChar w:fldCharType="begin"/>
      </w:r>
      <w:r>
        <w:instrText xml:space="preserve"> PAGEREF _Toc201759955 \h </w:instrText>
      </w:r>
      <w:r>
        <w:fldChar w:fldCharType="separate"/>
      </w:r>
      <w:r>
        <w:t>2</w:t>
      </w:r>
      <w:r>
        <w:fldChar w:fldCharType="end"/>
      </w:r>
      <w:r>
        <w:fldChar w:fldCharType="end"/>
      </w:r>
    </w:p>
    <w:p w14:paraId="4C334543">
      <w:pPr>
        <w:pStyle w:val="19"/>
        <w:tabs>
          <w:tab w:val="right" w:leader="dot" w:pos="9344"/>
        </w:tabs>
        <w:rPr>
          <w:rFonts w:asciiTheme="minorHAnsi" w:hAnsiTheme="minorHAnsi" w:eastAsiaTheme="minorEastAsia" w:cstheme="minorBidi"/>
          <w:szCs w:val="22"/>
        </w:rPr>
      </w:pPr>
      <w:r>
        <w:fldChar w:fldCharType="begin"/>
      </w:r>
      <w:r>
        <w:instrText xml:space="preserve"> HYPERLINK \l "_Toc201759956" </w:instrText>
      </w:r>
      <w:r>
        <w:fldChar w:fldCharType="separate"/>
      </w:r>
      <w:r>
        <w:rPr>
          <w:rStyle w:val="32"/>
        </w:rPr>
        <w:t xml:space="preserve">8 </w:t>
      </w:r>
      <w:r>
        <w:rPr>
          <w:rStyle w:val="32"/>
          <w:rFonts w:hint="eastAsia"/>
        </w:rPr>
        <w:t xml:space="preserve"> 分析步骤</w:t>
      </w:r>
      <w:r>
        <w:tab/>
      </w:r>
      <w:r>
        <w:fldChar w:fldCharType="begin"/>
      </w:r>
      <w:r>
        <w:instrText xml:space="preserve"> PAGEREF _Toc201759956 \h </w:instrText>
      </w:r>
      <w:r>
        <w:fldChar w:fldCharType="separate"/>
      </w:r>
      <w:r>
        <w:t>2</w:t>
      </w:r>
      <w:r>
        <w:fldChar w:fldCharType="end"/>
      </w:r>
      <w:r>
        <w:fldChar w:fldCharType="end"/>
      </w:r>
    </w:p>
    <w:p w14:paraId="6FD2B1CE">
      <w:pPr>
        <w:pStyle w:val="19"/>
        <w:tabs>
          <w:tab w:val="right" w:leader="dot" w:pos="9344"/>
        </w:tabs>
        <w:rPr>
          <w:rFonts w:asciiTheme="minorHAnsi" w:hAnsiTheme="minorHAnsi" w:eastAsiaTheme="minorEastAsia" w:cstheme="minorBidi"/>
          <w:szCs w:val="22"/>
        </w:rPr>
      </w:pPr>
      <w:r>
        <w:fldChar w:fldCharType="begin"/>
      </w:r>
      <w:r>
        <w:instrText xml:space="preserve"> HYPERLINK \l "_Toc201759957" </w:instrText>
      </w:r>
      <w:r>
        <w:fldChar w:fldCharType="separate"/>
      </w:r>
      <w:r>
        <w:rPr>
          <w:rStyle w:val="32"/>
        </w:rPr>
        <w:t xml:space="preserve">9 </w:t>
      </w:r>
      <w:r>
        <w:rPr>
          <w:rStyle w:val="32"/>
          <w:rFonts w:hint="eastAsia"/>
        </w:rPr>
        <w:t xml:space="preserve"> 方法特性</w:t>
      </w:r>
      <w:r>
        <w:tab/>
      </w:r>
      <w:r>
        <w:fldChar w:fldCharType="begin"/>
      </w:r>
      <w:r>
        <w:instrText xml:space="preserve"> PAGEREF _Toc201759957 \h </w:instrText>
      </w:r>
      <w:r>
        <w:fldChar w:fldCharType="separate"/>
      </w:r>
      <w:r>
        <w:t>4</w:t>
      </w:r>
      <w:r>
        <w:fldChar w:fldCharType="end"/>
      </w:r>
      <w:r>
        <w:fldChar w:fldCharType="end"/>
      </w:r>
    </w:p>
    <w:p w14:paraId="7C85937F">
      <w:pPr>
        <w:pStyle w:val="19"/>
        <w:tabs>
          <w:tab w:val="right" w:leader="dot" w:pos="9344"/>
        </w:tabs>
        <w:rPr>
          <w:rFonts w:asciiTheme="minorHAnsi" w:hAnsiTheme="minorHAnsi" w:eastAsiaTheme="minorEastAsia" w:cstheme="minorBidi"/>
          <w:szCs w:val="22"/>
        </w:rPr>
      </w:pPr>
      <w:r>
        <w:fldChar w:fldCharType="begin"/>
      </w:r>
      <w:r>
        <w:instrText xml:space="preserve"> HYPERLINK \l "_Toc201759958" </w:instrText>
      </w:r>
      <w:r>
        <w:fldChar w:fldCharType="separate"/>
      </w:r>
      <w:r>
        <w:rPr>
          <w:rStyle w:val="32"/>
        </w:rPr>
        <w:t xml:space="preserve">10 </w:t>
      </w:r>
      <w:r>
        <w:rPr>
          <w:rStyle w:val="32"/>
          <w:rFonts w:hint="eastAsia"/>
        </w:rPr>
        <w:t xml:space="preserve"> 质量保证与质量控制</w:t>
      </w:r>
      <w:r>
        <w:tab/>
      </w:r>
      <w:r>
        <w:fldChar w:fldCharType="begin"/>
      </w:r>
      <w:r>
        <w:instrText xml:space="preserve"> PAGEREF _Toc201759958 \h </w:instrText>
      </w:r>
      <w:r>
        <w:fldChar w:fldCharType="separate"/>
      </w:r>
      <w:r>
        <w:t>5</w:t>
      </w:r>
      <w:r>
        <w:fldChar w:fldCharType="end"/>
      </w:r>
      <w:r>
        <w:fldChar w:fldCharType="end"/>
      </w:r>
    </w:p>
    <w:p w14:paraId="10D2FAFA">
      <w:pPr>
        <w:pStyle w:val="19"/>
        <w:tabs>
          <w:tab w:val="right" w:leader="dot" w:pos="9344"/>
        </w:tabs>
        <w:rPr>
          <w:rFonts w:asciiTheme="minorHAnsi" w:hAnsiTheme="minorHAnsi" w:eastAsiaTheme="minorEastAsia" w:cstheme="minorBidi"/>
          <w:szCs w:val="22"/>
        </w:rPr>
      </w:pPr>
      <w:r>
        <w:fldChar w:fldCharType="begin"/>
      </w:r>
      <w:r>
        <w:instrText xml:space="preserve"> HYPERLINK \l "_Toc201759959" </w:instrText>
      </w:r>
      <w:r>
        <w:fldChar w:fldCharType="separate"/>
      </w:r>
      <w:r>
        <w:rPr>
          <w:rStyle w:val="32"/>
        </w:rPr>
        <w:t xml:space="preserve">11 </w:t>
      </w:r>
      <w:r>
        <w:rPr>
          <w:rStyle w:val="32"/>
          <w:rFonts w:hint="eastAsia"/>
        </w:rPr>
        <w:t xml:space="preserve"> 注意事项</w:t>
      </w:r>
      <w:r>
        <w:tab/>
      </w:r>
      <w:r>
        <w:fldChar w:fldCharType="begin"/>
      </w:r>
      <w:r>
        <w:instrText xml:space="preserve"> PAGEREF _Toc201759959 \h </w:instrText>
      </w:r>
      <w:r>
        <w:fldChar w:fldCharType="separate"/>
      </w:r>
      <w:r>
        <w:t>5</w:t>
      </w:r>
      <w:r>
        <w:fldChar w:fldCharType="end"/>
      </w:r>
      <w:r>
        <w:fldChar w:fldCharType="end"/>
      </w:r>
    </w:p>
    <w:p w14:paraId="00B01158">
      <w:pPr>
        <w:pStyle w:val="19"/>
        <w:tabs>
          <w:tab w:val="right" w:leader="dot" w:pos="9344"/>
        </w:tabs>
        <w:rPr>
          <w:rFonts w:asciiTheme="minorHAnsi" w:hAnsiTheme="minorHAnsi" w:eastAsiaTheme="minorEastAsia" w:cstheme="minorBidi"/>
          <w:szCs w:val="22"/>
        </w:rPr>
      </w:pPr>
      <w:r>
        <w:fldChar w:fldCharType="begin"/>
      </w:r>
      <w:r>
        <w:instrText xml:space="preserve"> HYPERLINK \l "_Toc201759960" </w:instrText>
      </w:r>
      <w:r>
        <w:fldChar w:fldCharType="separate"/>
      </w:r>
      <w:r>
        <w:rPr>
          <w:rStyle w:val="32"/>
          <w:rFonts w:hint="eastAsia"/>
        </w:rPr>
        <w:t>附录A（资料性）</w:t>
      </w:r>
      <w:r>
        <w:rPr>
          <w:rStyle w:val="32"/>
        </w:rPr>
        <w:t xml:space="preserve">  19</w:t>
      </w:r>
      <w:r>
        <w:rPr>
          <w:rStyle w:val="32"/>
          <w:rFonts w:hint="eastAsia"/>
        </w:rPr>
        <w:t>种抗生素的基本信息</w:t>
      </w:r>
      <w:r>
        <w:tab/>
      </w:r>
      <w:r>
        <w:fldChar w:fldCharType="begin"/>
      </w:r>
      <w:r>
        <w:instrText xml:space="preserve"> PAGEREF _Toc201759960 \h </w:instrText>
      </w:r>
      <w:r>
        <w:fldChar w:fldCharType="separate"/>
      </w:r>
      <w:r>
        <w:t>6</w:t>
      </w:r>
      <w:r>
        <w:fldChar w:fldCharType="end"/>
      </w:r>
      <w:r>
        <w:fldChar w:fldCharType="end"/>
      </w:r>
    </w:p>
    <w:p w14:paraId="02F000D8">
      <w:pPr>
        <w:pStyle w:val="19"/>
        <w:tabs>
          <w:tab w:val="right" w:leader="dot" w:pos="9344"/>
        </w:tabs>
        <w:rPr>
          <w:rFonts w:asciiTheme="minorHAnsi" w:hAnsiTheme="minorHAnsi" w:eastAsiaTheme="minorEastAsia" w:cstheme="minorBidi"/>
          <w:szCs w:val="22"/>
        </w:rPr>
      </w:pPr>
      <w:r>
        <w:fldChar w:fldCharType="begin"/>
      </w:r>
      <w:r>
        <w:instrText xml:space="preserve"> HYPERLINK \l "_Toc201759961" </w:instrText>
      </w:r>
      <w:r>
        <w:fldChar w:fldCharType="separate"/>
      </w:r>
      <w:r>
        <w:rPr>
          <w:rStyle w:val="32"/>
          <w:rFonts w:hint="eastAsia"/>
        </w:rPr>
        <w:t>附录B（资料性）</w:t>
      </w:r>
      <w:r>
        <w:rPr>
          <w:rStyle w:val="32"/>
        </w:rPr>
        <w:t xml:space="preserve">  19</w:t>
      </w:r>
      <w:r>
        <w:rPr>
          <w:rStyle w:val="32"/>
          <w:rFonts w:hint="eastAsia"/>
        </w:rPr>
        <w:t>种抗生素及内标的质谱参数和保留时间</w:t>
      </w:r>
      <w:r>
        <w:tab/>
      </w:r>
      <w:r>
        <w:fldChar w:fldCharType="begin"/>
      </w:r>
      <w:r>
        <w:instrText xml:space="preserve"> PAGEREF _Toc201759961 \h </w:instrText>
      </w:r>
      <w:r>
        <w:fldChar w:fldCharType="separate"/>
      </w:r>
      <w:r>
        <w:t>8</w:t>
      </w:r>
      <w:r>
        <w:fldChar w:fldCharType="end"/>
      </w:r>
      <w:r>
        <w:fldChar w:fldCharType="end"/>
      </w:r>
    </w:p>
    <w:p w14:paraId="63E0FADB">
      <w:pPr>
        <w:pStyle w:val="19"/>
        <w:tabs>
          <w:tab w:val="right" w:leader="dot" w:pos="9344"/>
        </w:tabs>
        <w:rPr>
          <w:rFonts w:asciiTheme="minorHAnsi" w:hAnsiTheme="minorHAnsi" w:eastAsiaTheme="minorEastAsia" w:cstheme="minorBidi"/>
          <w:szCs w:val="22"/>
        </w:rPr>
      </w:pPr>
      <w:r>
        <w:fldChar w:fldCharType="begin"/>
      </w:r>
      <w:r>
        <w:instrText xml:space="preserve"> HYPERLINK \l "_Toc201759962" </w:instrText>
      </w:r>
      <w:r>
        <w:fldChar w:fldCharType="separate"/>
      </w:r>
      <w:r>
        <w:rPr>
          <w:rStyle w:val="32"/>
          <w:rFonts w:hint="eastAsia"/>
        </w:rPr>
        <w:t>附录C（资料性）</w:t>
      </w:r>
      <w:r>
        <w:rPr>
          <w:rStyle w:val="32"/>
        </w:rPr>
        <w:t xml:space="preserve">  19</w:t>
      </w:r>
      <w:r>
        <w:rPr>
          <w:rStyle w:val="32"/>
          <w:rFonts w:hint="eastAsia"/>
        </w:rPr>
        <w:t>种抗生素标准色谱图</w:t>
      </w:r>
      <w:r>
        <w:tab/>
      </w:r>
      <w:r>
        <w:fldChar w:fldCharType="begin"/>
      </w:r>
      <w:r>
        <w:instrText xml:space="preserve"> PAGEREF _Toc201759962 \h </w:instrText>
      </w:r>
      <w:r>
        <w:fldChar w:fldCharType="separate"/>
      </w:r>
      <w:r>
        <w:t>10</w:t>
      </w:r>
      <w:r>
        <w:fldChar w:fldCharType="end"/>
      </w:r>
      <w:r>
        <w:fldChar w:fldCharType="end"/>
      </w:r>
    </w:p>
    <w:p w14:paraId="5D723C2F">
      <w:pPr>
        <w:pStyle w:val="91"/>
        <w:spacing w:after="360"/>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21"/>
    <w:p w14:paraId="501478D0">
      <w:pPr>
        <w:pStyle w:val="89"/>
        <w:spacing w:after="360"/>
      </w:pPr>
      <w:bookmarkStart w:id="23" w:name="_Toc201759947"/>
      <w:bookmarkStart w:id="24" w:name="BookMark2"/>
      <w:r>
        <w:rPr>
          <w:spacing w:val="320"/>
        </w:rPr>
        <w:t>前</w:t>
      </w:r>
      <w:r>
        <w:t>言</w:t>
      </w:r>
      <w:bookmarkEnd w:id="22"/>
      <w:bookmarkEnd w:id="23"/>
    </w:p>
    <w:p w14:paraId="49EFCBCF">
      <w:pPr>
        <w:pStyle w:val="56"/>
        <w:ind w:firstLine="420"/>
      </w:pPr>
      <w:r>
        <w:rPr>
          <w:rFonts w:hint="eastAsia"/>
        </w:rPr>
        <w:t>本文件按照GB/T 1.1—2020《标准化工作导则  第1部分：标准化文件的结构和起草规则》的规定起草。</w:t>
      </w:r>
    </w:p>
    <w:p w14:paraId="5A8BB583">
      <w:pPr>
        <w:pStyle w:val="56"/>
        <w:ind w:firstLine="420"/>
      </w:pPr>
      <w:r>
        <w:rPr>
          <w:rFonts w:hint="eastAsia"/>
        </w:rPr>
        <w:t>本文件的</w:t>
      </w:r>
      <w:r>
        <w:t>附录</w:t>
      </w:r>
      <w:r>
        <w:rPr>
          <w:rFonts w:hint="eastAsia"/>
        </w:rPr>
        <w:t>A、附录B、附录C为资料性附录。</w:t>
      </w:r>
    </w:p>
    <w:p w14:paraId="627F3CAB">
      <w:pPr>
        <w:pStyle w:val="56"/>
        <w:ind w:firstLine="420"/>
      </w:pPr>
      <w:r>
        <w:rPr>
          <w:rFonts w:hint="eastAsia"/>
        </w:rPr>
        <w:t>请注意</w:t>
      </w:r>
      <w:r>
        <w:t>本文件的某些内容可能涉及专利。本文件</w:t>
      </w:r>
      <w:r>
        <w:rPr>
          <w:rFonts w:hint="eastAsia"/>
        </w:rPr>
        <w:t>的</w:t>
      </w:r>
      <w:r>
        <w:t>发布机构不</w:t>
      </w:r>
      <w:r>
        <w:rPr>
          <w:rFonts w:hint="eastAsia"/>
        </w:rPr>
        <w:t>承担识别</w:t>
      </w:r>
      <w:r>
        <w:t>专利的责任。</w:t>
      </w:r>
    </w:p>
    <w:p w14:paraId="40D9F7A3">
      <w:pPr>
        <w:pStyle w:val="56"/>
        <w:ind w:firstLine="420"/>
      </w:pPr>
      <w:r>
        <w:rPr>
          <w:rFonts w:hint="eastAsia"/>
        </w:rPr>
        <w:t>本文件由xxx提出并归口。</w:t>
      </w:r>
    </w:p>
    <w:p w14:paraId="36423975">
      <w:pPr>
        <w:pStyle w:val="56"/>
        <w:ind w:firstLine="420"/>
        <w:rPr>
          <w:rFonts w:hint="eastAsia" w:eastAsia="宋体"/>
          <w:lang w:eastAsia="zh-CN"/>
        </w:rPr>
      </w:pPr>
      <w:r>
        <w:rPr>
          <w:rFonts w:hint="eastAsia"/>
        </w:rPr>
        <w:t>本文件起草单位：中国疾病预防控制中心环境与健康相关产品安全所、山东省疾病预防控制中心、无锡市疾病预防控制中心、深圳市罗湖区疾病预防控制中心</w:t>
      </w:r>
      <w:r>
        <w:rPr>
          <w:rFonts w:hint="eastAsia"/>
          <w:lang w:eastAsia="zh-CN"/>
        </w:rPr>
        <w:t>、</w:t>
      </w:r>
      <w:r>
        <w:rPr>
          <w:kern w:val="0"/>
          <w:szCs w:val="21"/>
        </w:rPr>
        <w:t>茂名市中医院</w:t>
      </w:r>
      <w:bookmarkStart w:id="131" w:name="_GoBack"/>
      <w:bookmarkEnd w:id="131"/>
    </w:p>
    <w:p w14:paraId="1E96513E">
      <w:pPr>
        <w:pStyle w:val="56"/>
        <w:ind w:firstLine="420"/>
      </w:pPr>
      <w:r>
        <w:rPr>
          <w:rFonts w:hint="eastAsia"/>
        </w:rPr>
        <w:t>本文件主要起草人：胡小键、张续、</w:t>
      </w:r>
      <w:r>
        <w:rPr>
          <w:rFonts w:hint="eastAsia"/>
          <w:lang w:val="en-US" w:eastAsia="zh-CN"/>
        </w:rPr>
        <w:t>朱英、</w:t>
      </w:r>
      <w:r>
        <w:rPr>
          <w:rFonts w:hint="eastAsia"/>
        </w:rPr>
        <w:t>李振环、倪一平、付慧、郑凤家、王晓琳、吴林林、吴宇伉、朱波、纪翔</w:t>
      </w:r>
      <w:r>
        <w:rPr>
          <w:rFonts w:hint="eastAsia"/>
          <w:lang w:eastAsia="zh-CN"/>
        </w:rPr>
        <w:t>、</w:t>
      </w:r>
      <w:r>
        <w:rPr>
          <w:kern w:val="0"/>
          <w:szCs w:val="21"/>
        </w:rPr>
        <w:t>徐建华</w:t>
      </w:r>
      <w:r>
        <w:rPr>
          <w:rFonts w:hint="eastAsia"/>
        </w:rPr>
        <w:t>。</w:t>
      </w:r>
    </w:p>
    <w:p w14:paraId="7A5EB5BC">
      <w:pPr>
        <w:pStyle w:val="56"/>
        <w:ind w:firstLine="420"/>
      </w:pPr>
      <w:r>
        <w:t>本文件为首次发布</w:t>
      </w:r>
      <w:r>
        <w:rPr>
          <w:rFonts w:hint="eastAsia"/>
        </w:rPr>
        <w:t>。</w:t>
      </w:r>
    </w:p>
    <w:p w14:paraId="5B4A4F7F">
      <w:pPr>
        <w:pStyle w:val="56"/>
        <w:ind w:firstLine="420"/>
        <w:sectPr>
          <w:pgSz w:w="11906" w:h="16838"/>
          <w:pgMar w:top="1928" w:right="1134" w:bottom="1134" w:left="1134" w:header="1418" w:footer="1134" w:gutter="284"/>
          <w:pgNumType w:fmt="upperRoman"/>
          <w:cols w:space="425" w:num="1"/>
          <w:formProt w:val="0"/>
          <w:docGrid w:linePitch="312" w:charSpace="0"/>
        </w:sectPr>
      </w:pPr>
    </w:p>
    <w:bookmarkEnd w:id="24"/>
    <w:p w14:paraId="25976003">
      <w:pPr>
        <w:pStyle w:val="89"/>
        <w:spacing w:after="360"/>
        <w:rPr>
          <w:rFonts w:ascii="Times New Roman"/>
        </w:rPr>
      </w:pPr>
      <w:bookmarkStart w:id="25" w:name="_Toc201759948"/>
      <w:bookmarkStart w:id="26" w:name="_Toc201759903"/>
      <w:bookmarkStart w:id="27" w:name="BookMark3"/>
      <w:r>
        <w:rPr>
          <w:rFonts w:ascii="Times New Roman"/>
          <w:spacing w:val="320"/>
        </w:rPr>
        <w:t>引</w:t>
      </w:r>
      <w:r>
        <w:rPr>
          <w:rFonts w:ascii="Times New Roman"/>
        </w:rPr>
        <w:t>言</w:t>
      </w:r>
      <w:bookmarkEnd w:id="25"/>
      <w:bookmarkEnd w:id="26"/>
    </w:p>
    <w:p w14:paraId="5AC316F6">
      <w:pPr>
        <w:pStyle w:val="56"/>
        <w:ind w:firstLine="420"/>
        <w:rPr>
          <w:rFonts w:ascii="Times New Roman"/>
          <w:szCs w:val="21"/>
        </w:rPr>
      </w:pPr>
      <w:r>
        <w:rPr>
          <w:rFonts w:ascii="Times New Roman"/>
          <w:szCs w:val="21"/>
        </w:rPr>
        <w:t>人体生物样品是重要的生物资源，人体生物样品中环境化学污染物及其代谢物反映了经呼吸道、消化道、皮肤等多种途径进入人体的化学物质总量。对它们的识别和量化有助于建立</w:t>
      </w:r>
      <w:r>
        <w:rPr>
          <w:rFonts w:ascii="Times New Roman"/>
          <w:color w:val="2E3033"/>
          <w:szCs w:val="21"/>
          <w:shd w:val="clear" w:color="auto" w:fill="FFFFFF"/>
        </w:rPr>
        <w:t>人体化学品和毒物接触标准，</w:t>
      </w:r>
      <w:r>
        <w:rPr>
          <w:rFonts w:ascii="Times New Roman"/>
        </w:rPr>
        <w:t>对于揭示环境污染物的暴露途径、评估人体化学污染物不良效应剂量、认识环境暴露与健康（疾病）风险之间的关系意义重大。人体生物样品中环境化学污染物及其代谢物标准检验方法</w:t>
      </w:r>
      <w:r>
        <w:rPr>
          <w:rFonts w:ascii="Times New Roman"/>
          <w:szCs w:val="21"/>
        </w:rPr>
        <w:t>是生物样品检测的重要基础，为环境与人群健康研究提供关键技术支撑。</w:t>
      </w:r>
    </w:p>
    <w:p w14:paraId="770D251A">
      <w:pPr>
        <w:pStyle w:val="56"/>
        <w:ind w:firstLine="420"/>
        <w:rPr>
          <w:rFonts w:ascii="Times New Roman"/>
        </w:rPr>
      </w:pPr>
      <w:r>
        <w:rPr>
          <w:rFonts w:ascii="Times New Roman"/>
        </w:rPr>
        <w:t>抗生素是一类具有抑菌和杀菌活性的化合物，其被广泛应用于临床治疗、畜牧养殖和农业生产等领域，并发挥了重要作用。随着抗生素用量的不断增多，其在不同环境介质及食品中的检出率也不断增高，这给生态环境和人体健康均带来了较大的风险。几十年来，抗生素的过量使用甚至滥用导致各种耐药菌的滋生，使现有抗生素效力下降，增加了感染或炎症的风险，使得抗生素的耐药性成为全球性的重大公共卫生问题。 除耐药性外，抗生素还会产生肥胖/超重、 血糖异常、 肾毒性、 神经系统疾病、 哮喘等多种不良健康结局。因此，准确测定抗生素在人体内的含量水平，能更加真实反映抗生素的内暴露风险，为研究抗生素对人体健康影响提供关重要数据。</w:t>
      </w:r>
    </w:p>
    <w:p w14:paraId="2C6899E7">
      <w:pPr>
        <w:pStyle w:val="56"/>
        <w:ind w:firstLine="420"/>
        <w:rPr>
          <w:rFonts w:ascii="Times New Roman"/>
        </w:rPr>
      </w:pPr>
      <w:r>
        <w:rPr>
          <w:rFonts w:ascii="Times New Roman"/>
        </w:rPr>
        <w:t>本文件规定了人尿中19种抗生素的液相色谱串联质谱（LC-MS/MS）检测方法。</w:t>
      </w:r>
    </w:p>
    <w:p w14:paraId="3589F255">
      <w:pPr>
        <w:pStyle w:val="56"/>
        <w:ind w:firstLine="420"/>
        <w:rPr>
          <w:rFonts w:ascii="Times New Roman"/>
        </w:rPr>
      </w:pPr>
    </w:p>
    <w:p w14:paraId="1B10EFC0">
      <w:pPr>
        <w:pStyle w:val="56"/>
        <w:ind w:firstLine="420"/>
        <w:rPr>
          <w:rFonts w:ascii="Times New Roman"/>
        </w:rPr>
      </w:pPr>
    </w:p>
    <w:p w14:paraId="74269B13">
      <w:pPr>
        <w:pStyle w:val="56"/>
        <w:ind w:firstLine="420"/>
        <w:rPr>
          <w:rFonts w:ascii="Times New Roman"/>
        </w:rPr>
        <w:sectPr>
          <w:pgSz w:w="11906" w:h="16838"/>
          <w:pgMar w:top="1928" w:right="1134" w:bottom="1134" w:left="1134" w:header="1418" w:footer="1134" w:gutter="284"/>
          <w:pgNumType w:fmt="upperRoman"/>
          <w:cols w:space="425" w:num="1"/>
          <w:formProt w:val="0"/>
          <w:docGrid w:linePitch="312" w:charSpace="0"/>
        </w:sectPr>
      </w:pPr>
    </w:p>
    <w:bookmarkEnd w:id="27"/>
    <w:p w14:paraId="5059FFC7">
      <w:pPr>
        <w:spacing w:line="20" w:lineRule="exact"/>
        <w:jc w:val="center"/>
        <w:rPr>
          <w:rFonts w:ascii="Times New Roman" w:hAnsi="Times New Roman" w:eastAsia="黑体"/>
          <w:sz w:val="32"/>
          <w:szCs w:val="32"/>
        </w:rPr>
      </w:pPr>
      <w:bookmarkStart w:id="28" w:name="BookMark4"/>
    </w:p>
    <w:p w14:paraId="0E596EF1">
      <w:pPr>
        <w:spacing w:line="20" w:lineRule="exact"/>
        <w:jc w:val="center"/>
        <w:rPr>
          <w:rFonts w:ascii="Times New Roman" w:hAnsi="Times New Roman" w:eastAsia="黑体"/>
          <w:sz w:val="32"/>
          <w:szCs w:val="32"/>
        </w:rPr>
      </w:pPr>
    </w:p>
    <w:sdt>
      <w:sdtPr>
        <w:rPr>
          <w:rFonts w:ascii="Times New Roman" w:hAnsi="Times New Roman"/>
        </w:rPr>
        <w:tag w:val="NEW_STAND_NAME"/>
        <w:id w:val="595910757"/>
        <w:lock w:val="sdtLocked"/>
        <w:placeholder>
          <w:docPart w:val="B5A9E7C2338D4E14A0C1D9F2626A2EB0"/>
        </w:placeholder>
      </w:sdtPr>
      <w:sdtEndPr>
        <w:rPr>
          <w:rFonts w:ascii="Times New Roman" w:hAnsi="Times New Roman"/>
        </w:rPr>
      </w:sdtEndPr>
      <w:sdtContent>
        <w:p w14:paraId="7C23A165">
          <w:pPr>
            <w:pStyle w:val="177"/>
            <w:spacing w:before="2" w:beforeLines="1" w:after="2" w:afterLines="1"/>
            <w:rPr>
              <w:rFonts w:ascii="Times New Roman" w:hAnsi="Times New Roman"/>
            </w:rPr>
          </w:pPr>
          <w:bookmarkStart w:id="29" w:name="NEW_STAND_NAME"/>
          <w:r>
            <w:rPr>
              <w:rFonts w:ascii="Times New Roman" w:hAnsi="Times New Roman"/>
            </w:rPr>
            <w:t>人体尿液中抗生素含量的测定</w:t>
          </w:r>
        </w:p>
        <w:p w14:paraId="315B16C5">
          <w:pPr>
            <w:pStyle w:val="177"/>
            <w:spacing w:before="2" w:beforeLines="1" w:after="680"/>
            <w:rPr>
              <w:rFonts w:ascii="Times New Roman" w:hAnsi="Times New Roman"/>
            </w:rPr>
          </w:pPr>
          <w:r>
            <w:rPr>
              <w:rFonts w:ascii="Times New Roman" w:hAnsi="Times New Roman"/>
            </w:rPr>
            <w:t>液相色谱－串联质谱法</w:t>
          </w:r>
        </w:p>
      </w:sdtContent>
    </w:sdt>
    <w:bookmarkEnd w:id="29"/>
    <w:p w14:paraId="54108279">
      <w:pPr>
        <w:pStyle w:val="104"/>
        <w:spacing w:before="240" w:after="240"/>
        <w:rPr>
          <w:rFonts w:ascii="Times New Roman"/>
        </w:rPr>
      </w:pPr>
      <w:bookmarkStart w:id="30" w:name="_Toc26718930"/>
      <w:bookmarkStart w:id="31" w:name="_Toc26648465"/>
      <w:bookmarkStart w:id="32" w:name="_Toc26986771"/>
      <w:bookmarkStart w:id="33" w:name="_Toc24884218"/>
      <w:bookmarkStart w:id="34" w:name="_Toc24884211"/>
      <w:bookmarkStart w:id="35" w:name="_Toc201759904"/>
      <w:bookmarkStart w:id="36" w:name="_Toc26986530"/>
      <w:bookmarkStart w:id="37" w:name="_Toc201759949"/>
      <w:bookmarkStart w:id="38" w:name="_Toc17233325"/>
      <w:bookmarkStart w:id="39" w:name="_Toc17233333"/>
      <w:bookmarkStart w:id="40" w:name="_Toc97192964"/>
      <w:bookmarkStart w:id="41" w:name="_Toc193101811"/>
      <w:r>
        <w:rPr>
          <w:rFonts w:ascii="Times New Roman"/>
        </w:rPr>
        <w:t>范围</w:t>
      </w:r>
      <w:bookmarkEnd w:id="30"/>
      <w:bookmarkEnd w:id="31"/>
      <w:bookmarkEnd w:id="32"/>
      <w:bookmarkEnd w:id="33"/>
      <w:bookmarkEnd w:id="34"/>
      <w:bookmarkEnd w:id="35"/>
      <w:bookmarkEnd w:id="36"/>
      <w:bookmarkEnd w:id="37"/>
      <w:bookmarkEnd w:id="38"/>
      <w:bookmarkEnd w:id="39"/>
      <w:bookmarkEnd w:id="40"/>
      <w:bookmarkEnd w:id="41"/>
    </w:p>
    <w:p w14:paraId="1C09A59C">
      <w:pPr>
        <w:pStyle w:val="56"/>
        <w:ind w:firstLine="420"/>
        <w:rPr>
          <w:rFonts w:ascii="Times New Roman"/>
        </w:rPr>
      </w:pPr>
      <w:r>
        <w:rPr>
          <w:rFonts w:ascii="Times New Roman"/>
        </w:rPr>
        <w:t>本文件规定了人体尿液样品中</w:t>
      </w:r>
      <w:bookmarkStart w:id="42" w:name="OLE_LINK12"/>
      <w:bookmarkStart w:id="43" w:name="OLE_LINK10"/>
      <w:bookmarkStart w:id="44" w:name="OLE_LINK11"/>
      <w:r>
        <w:rPr>
          <w:rFonts w:ascii="Times New Roman"/>
        </w:rPr>
        <w:t>抗生素</w:t>
      </w:r>
      <w:bookmarkEnd w:id="42"/>
      <w:bookmarkEnd w:id="43"/>
      <w:bookmarkEnd w:id="44"/>
      <w:r>
        <w:rPr>
          <w:rFonts w:ascii="Times New Roman"/>
        </w:rPr>
        <w:t>的液相色谱串联质谱（LC-MS/MS）测定方法。</w:t>
      </w:r>
    </w:p>
    <w:p w14:paraId="35A196BC">
      <w:pPr>
        <w:pStyle w:val="56"/>
        <w:ind w:firstLine="420"/>
        <w:rPr>
          <w:rFonts w:ascii="Times New Roman"/>
        </w:rPr>
      </w:pPr>
      <w:r>
        <w:rPr>
          <w:rFonts w:ascii="Times New Roman"/>
        </w:rPr>
        <w:t>本文件适用于尿液样品中19种抗生素（阿奇霉素、克拉霉素、罗红霉素、四环素、强力霉素、土霉素、恩诺沙星、培氟沙星、二氟沙星、洛美沙星、磺胺二甲嘧啶、磺胺甲噁唑、磺胺嘧啶、甲氧苄啶、磺胺喹噁啉、磺胺氯哒嗪、磺胺林、头孢克洛、林可霉素）的测定。</w:t>
      </w:r>
      <w:bookmarkStart w:id="45" w:name="_Toc24884212"/>
      <w:bookmarkStart w:id="46" w:name="_Toc17233326"/>
      <w:bookmarkStart w:id="47" w:name="_Toc26648466"/>
      <w:bookmarkStart w:id="48" w:name="_Toc24884219"/>
      <w:bookmarkStart w:id="49" w:name="_Toc17233334"/>
    </w:p>
    <w:p w14:paraId="600BB485">
      <w:pPr>
        <w:pStyle w:val="104"/>
        <w:spacing w:before="240" w:after="240"/>
        <w:rPr>
          <w:rFonts w:ascii="Times New Roman"/>
        </w:rPr>
      </w:pPr>
      <w:bookmarkStart w:id="50" w:name="_Toc26986531"/>
      <w:bookmarkStart w:id="51" w:name="_Toc193101812"/>
      <w:bookmarkStart w:id="52" w:name="_Toc97192965"/>
      <w:bookmarkStart w:id="53" w:name="_Toc201759905"/>
      <w:bookmarkStart w:id="54" w:name="_Toc26986772"/>
      <w:bookmarkStart w:id="55" w:name="_Toc26718931"/>
      <w:bookmarkStart w:id="56" w:name="_Toc201759950"/>
      <w:r>
        <w:rPr>
          <w:rFonts w:ascii="Times New Roman"/>
        </w:rPr>
        <w:t>规范性引用文件</w:t>
      </w:r>
      <w:bookmarkEnd w:id="45"/>
      <w:bookmarkEnd w:id="46"/>
      <w:bookmarkEnd w:id="47"/>
      <w:bookmarkEnd w:id="48"/>
      <w:bookmarkEnd w:id="49"/>
      <w:bookmarkEnd w:id="50"/>
      <w:bookmarkEnd w:id="51"/>
      <w:bookmarkEnd w:id="52"/>
      <w:bookmarkEnd w:id="53"/>
      <w:bookmarkEnd w:id="54"/>
      <w:bookmarkEnd w:id="55"/>
      <w:bookmarkEnd w:id="56"/>
    </w:p>
    <w:sdt>
      <w:sdtPr>
        <w:rPr>
          <w:rFonts w:ascii="Times New Roman"/>
        </w:rPr>
        <w:id w:val="715848253"/>
        <w:placeholder>
          <w:docPart w:val="B131210D8F8846BBB4A500046D10AB0C"/>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ascii="Times New Roman"/>
        </w:rPr>
      </w:sdtEndPr>
      <w:sdtContent>
        <w:p w14:paraId="461852BF">
          <w:pPr>
            <w:pStyle w:val="56"/>
            <w:ind w:firstLine="420"/>
            <w:rPr>
              <w:rFonts w:ascii="Times New Roman"/>
            </w:rPr>
          </w:pPr>
          <w:r>
            <w:rPr>
              <w:rFonts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07D64951">
      <w:pPr>
        <w:pStyle w:val="56"/>
        <w:ind w:firstLine="420"/>
        <w:rPr>
          <w:rFonts w:ascii="Times New Roman"/>
          <w:szCs w:val="21"/>
        </w:rPr>
      </w:pPr>
      <w:r>
        <w:rPr>
          <w:rFonts w:ascii="Times New Roman"/>
        </w:rPr>
        <w:t xml:space="preserve">GB/T </w:t>
      </w:r>
      <w:r>
        <w:rPr>
          <w:rFonts w:ascii="Times New Roman"/>
          <w:szCs w:val="21"/>
        </w:rPr>
        <w:t>6682 分析实验室用水规格和试验方法</w:t>
      </w:r>
    </w:p>
    <w:p w14:paraId="6840B7C1">
      <w:pPr>
        <w:pStyle w:val="56"/>
        <w:ind w:firstLine="420"/>
        <w:rPr>
          <w:rFonts w:ascii="Times New Roman"/>
        </w:rPr>
      </w:pPr>
      <w:r>
        <w:rPr>
          <w:rFonts w:ascii="Times New Roman"/>
        </w:rPr>
        <w:t>GB 15603 常用化学危险品贮存通则</w:t>
      </w:r>
    </w:p>
    <w:p w14:paraId="61646854">
      <w:pPr>
        <w:pStyle w:val="56"/>
        <w:ind w:firstLine="420"/>
        <w:rPr>
          <w:rFonts w:ascii="Times New Roman"/>
        </w:rPr>
      </w:pPr>
      <w:r>
        <w:rPr>
          <w:rFonts w:ascii="Times New Roman"/>
        </w:rPr>
        <w:t>GB/T 38735 人类尿液样本采集与处理</w:t>
      </w:r>
    </w:p>
    <w:p w14:paraId="4B878972">
      <w:pPr>
        <w:pStyle w:val="104"/>
        <w:spacing w:before="240" w:after="240"/>
        <w:rPr>
          <w:rFonts w:ascii="Times New Roman"/>
        </w:rPr>
      </w:pPr>
      <w:bookmarkStart w:id="57" w:name="_Toc193101813"/>
      <w:bookmarkStart w:id="58" w:name="_Toc201759951"/>
      <w:bookmarkStart w:id="59" w:name="_Toc97192966"/>
      <w:bookmarkStart w:id="60" w:name="_Toc201759906"/>
      <w:r>
        <w:rPr>
          <w:rFonts w:ascii="Times New Roman"/>
          <w:szCs w:val="21"/>
        </w:rPr>
        <w:t>术语和定义</w:t>
      </w:r>
      <w:bookmarkEnd w:id="57"/>
      <w:bookmarkEnd w:id="58"/>
      <w:bookmarkEnd w:id="59"/>
      <w:bookmarkEnd w:id="60"/>
    </w:p>
    <w:sdt>
      <w:sdtPr>
        <w:rPr>
          <w:rFonts w:ascii="Times New Roman"/>
        </w:rPr>
        <w:id w:val="-1909835108"/>
        <w:placeholder>
          <w:docPart w:val="2CDC17C3D1BE4F9796F208528EE281FD"/>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ascii="Times New Roman"/>
        </w:rPr>
      </w:sdtEndPr>
      <w:sdtContent>
        <w:p w14:paraId="6BE845F4">
          <w:pPr>
            <w:pStyle w:val="56"/>
            <w:ind w:firstLine="420"/>
            <w:rPr>
              <w:rFonts w:ascii="Times New Roman"/>
            </w:rPr>
          </w:pPr>
          <w:bookmarkStart w:id="61" w:name="_Toc26986532"/>
          <w:bookmarkEnd w:id="61"/>
          <w:r>
            <w:rPr>
              <w:rFonts w:ascii="Times New Roman"/>
            </w:rPr>
            <w:t>本文件没有需要界定的术语和定义。</w:t>
          </w:r>
        </w:p>
      </w:sdtContent>
    </w:sdt>
    <w:p w14:paraId="42A79A08">
      <w:pPr>
        <w:pStyle w:val="104"/>
        <w:spacing w:before="240" w:after="240"/>
        <w:rPr>
          <w:rFonts w:ascii="Times New Roman"/>
        </w:rPr>
      </w:pPr>
      <w:bookmarkStart w:id="62" w:name="_Toc201759907"/>
      <w:bookmarkStart w:id="63" w:name="_Toc201759952"/>
      <w:r>
        <w:rPr>
          <w:rFonts w:ascii="Times New Roman"/>
        </w:rPr>
        <w:t>原理</w:t>
      </w:r>
      <w:bookmarkEnd w:id="62"/>
      <w:bookmarkEnd w:id="63"/>
    </w:p>
    <w:p w14:paraId="44D39B9E">
      <w:pPr>
        <w:pStyle w:val="56"/>
        <w:ind w:firstLine="420"/>
        <w:rPr>
          <w:rFonts w:ascii="Times New Roman"/>
        </w:rPr>
      </w:pPr>
      <w:r>
        <w:rPr>
          <w:rFonts w:ascii="Times New Roman"/>
        </w:rPr>
        <w:t>尿液样品中的抗生素经β-葡萄糖醛酸酶水解，用固相萃取板进行富集和净化，液相色谱串联质谱正离子多反应监测模式测定，同位素内标法定量。</w:t>
      </w:r>
    </w:p>
    <w:p w14:paraId="71129A4D">
      <w:pPr>
        <w:pStyle w:val="104"/>
        <w:spacing w:before="240" w:after="240"/>
        <w:rPr>
          <w:rFonts w:ascii="Times New Roman"/>
        </w:rPr>
      </w:pPr>
      <w:bookmarkStart w:id="64" w:name="_Toc201759908"/>
      <w:bookmarkStart w:id="65" w:name="_Toc201759953"/>
      <w:r>
        <w:rPr>
          <w:rFonts w:ascii="Times New Roman"/>
        </w:rPr>
        <w:t>试剂或材料</w:t>
      </w:r>
      <w:bookmarkEnd w:id="64"/>
      <w:bookmarkEnd w:id="65"/>
    </w:p>
    <w:p w14:paraId="7BA63428">
      <w:pPr>
        <w:pStyle w:val="162"/>
        <w:rPr>
          <w:rFonts w:ascii="Times New Roman"/>
        </w:rPr>
      </w:pPr>
      <w:bookmarkStart w:id="66" w:name="_Toc201759909"/>
      <w:r>
        <w:rPr>
          <w:rFonts w:ascii="Times New Roman"/>
        </w:rPr>
        <w:t>除非有特殊说明，所有试剂均为色谱纯，水为GB/T 6682规定的一级水；</w:t>
      </w:r>
      <w:bookmarkEnd w:id="66"/>
    </w:p>
    <w:p w14:paraId="0F134D38">
      <w:pPr>
        <w:pStyle w:val="162"/>
        <w:rPr>
          <w:rFonts w:ascii="Times New Roman"/>
        </w:rPr>
      </w:pPr>
      <w:bookmarkStart w:id="67" w:name="_Toc201759910"/>
      <w:r>
        <w:rPr>
          <w:rFonts w:ascii="Times New Roman"/>
        </w:rPr>
        <w:t>乙酸；</w:t>
      </w:r>
      <w:bookmarkEnd w:id="67"/>
    </w:p>
    <w:p w14:paraId="71F71774">
      <w:pPr>
        <w:pStyle w:val="162"/>
        <w:rPr>
          <w:rFonts w:ascii="Times New Roman"/>
        </w:rPr>
      </w:pPr>
      <w:bookmarkStart w:id="68" w:name="_Toc201759911"/>
      <w:r>
        <w:rPr>
          <w:rFonts w:ascii="Times New Roman"/>
        </w:rPr>
        <w:t>乙腈</w:t>
      </w:r>
      <w:bookmarkEnd w:id="68"/>
      <w:r>
        <w:rPr>
          <w:rFonts w:ascii="Times New Roman"/>
        </w:rPr>
        <w:t>；</w:t>
      </w:r>
    </w:p>
    <w:p w14:paraId="512BEFF4">
      <w:pPr>
        <w:pStyle w:val="162"/>
        <w:rPr>
          <w:rFonts w:ascii="Times New Roman"/>
        </w:rPr>
      </w:pPr>
      <w:bookmarkStart w:id="69" w:name="_Toc201759912"/>
      <w:r>
        <w:rPr>
          <w:rFonts w:ascii="Times New Roman"/>
        </w:rPr>
        <w:t>甲酸；</w:t>
      </w:r>
      <w:bookmarkEnd w:id="69"/>
    </w:p>
    <w:p w14:paraId="09D2DA2F">
      <w:pPr>
        <w:pStyle w:val="162"/>
        <w:rPr>
          <w:rFonts w:ascii="Times New Roman"/>
        </w:rPr>
      </w:pPr>
      <w:bookmarkStart w:id="70" w:name="_Toc201759913"/>
      <w:r>
        <w:rPr>
          <w:rFonts w:ascii="Times New Roman"/>
        </w:rPr>
        <w:t>乙酸铵；</w:t>
      </w:r>
      <w:bookmarkEnd w:id="70"/>
    </w:p>
    <w:p w14:paraId="42BAF579">
      <w:pPr>
        <w:pStyle w:val="162"/>
        <w:rPr>
          <w:rFonts w:ascii="Times New Roman"/>
        </w:rPr>
      </w:pPr>
      <w:bookmarkStart w:id="71" w:name="_Toc201759914"/>
      <w:r>
        <w:rPr>
          <w:rFonts w:ascii="Times New Roman"/>
        </w:rPr>
        <w:t>甲醇；</w:t>
      </w:r>
      <w:bookmarkEnd w:id="71"/>
    </w:p>
    <w:p w14:paraId="4980A2FC">
      <w:pPr>
        <w:pStyle w:val="162"/>
        <w:rPr>
          <w:rFonts w:ascii="Times New Roman"/>
        </w:rPr>
      </w:pPr>
      <w:r>
        <w:rPr>
          <w:rFonts w:ascii="Times New Roman"/>
        </w:rPr>
        <w:t>96孔固相萃取板：聚苯乙烯二乙烯基苯吡咯烷酮亲水亲酯平衡填料，30 mg，2 mL；</w:t>
      </w:r>
    </w:p>
    <w:p w14:paraId="3170AF2D">
      <w:pPr>
        <w:pStyle w:val="162"/>
        <w:rPr>
          <w:rFonts w:ascii="Times New Roman"/>
        </w:rPr>
      </w:pPr>
      <w:bookmarkStart w:id="72" w:name="_Toc201759915"/>
      <w:r>
        <w:rPr>
          <w:rFonts w:ascii="Times New Roman"/>
        </w:rPr>
        <w:t>β-葡萄糖醛酸酶：活性不低于85000 U/mL</w:t>
      </w:r>
      <w:bookmarkEnd w:id="72"/>
      <w:r>
        <w:rPr>
          <w:rFonts w:ascii="Times New Roman"/>
        </w:rPr>
        <w:t>；</w:t>
      </w:r>
    </w:p>
    <w:p w14:paraId="69860229">
      <w:pPr>
        <w:pStyle w:val="162"/>
        <w:rPr>
          <w:rFonts w:ascii="Times New Roman"/>
        </w:rPr>
      </w:pPr>
      <w:r>
        <w:rPr>
          <w:rFonts w:ascii="Times New Roman"/>
        </w:rPr>
        <w:t>1.0 mol/L乙酸铵缓冲溶液（pH=5.0）：称取1.93 g乙酸铵于50 mL烧杯中，加入约20 mL水，混匀，加入乙酸，调节缓冲液pH为5.2，调节好pH溶液倒入25 mL容量瓶，定容；</w:t>
      </w:r>
    </w:p>
    <w:p w14:paraId="6E329BFF">
      <w:pPr>
        <w:pStyle w:val="162"/>
        <w:rPr>
          <w:rFonts w:ascii="Times New Roman"/>
        </w:rPr>
      </w:pPr>
      <w:bookmarkStart w:id="73" w:name="_Toc201759916"/>
      <w:r>
        <w:rPr>
          <w:rFonts w:ascii="Times New Roman"/>
        </w:rPr>
        <w:t>标准物质和同位素内标：纯度不低于98%。标准物质和内标的CAS号、相对分子量和结构式见附录A</w:t>
      </w:r>
      <w:bookmarkEnd w:id="73"/>
      <w:r>
        <w:rPr>
          <w:rFonts w:ascii="Times New Roman"/>
        </w:rPr>
        <w:t>；</w:t>
      </w:r>
    </w:p>
    <w:p w14:paraId="206B351A">
      <w:pPr>
        <w:pStyle w:val="162"/>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标准溶液配制：分别取10 mg标准物质和内标固体于10mL容量瓶，用甲醇溶解并定容至刻度，配成1 mg/mL的单标标准溶液</w:t>
      </w:r>
      <w:bookmarkStart w:id="74" w:name="OLE_LINK17"/>
      <w:bookmarkStart w:id="75" w:name="OLE_LINK18"/>
      <w:r>
        <w:rPr>
          <w:rFonts w:ascii="Times New Roman"/>
          <w:color w:val="000000" w:themeColor="text1"/>
          <w14:textFill>
            <w14:solidFill>
              <w14:schemeClr w14:val="tx1"/>
            </w14:solidFill>
          </w14:textFill>
        </w:rPr>
        <w:t>，-20</w:t>
      </w:r>
      <w:r>
        <w:rPr>
          <w:rFonts w:hint="eastAsia" w:hAnsi="宋体" w:cs="宋体"/>
          <w:color w:val="000000" w:themeColor="text1"/>
          <w14:textFill>
            <w14:solidFill>
              <w14:schemeClr w14:val="tx1"/>
            </w14:solidFill>
          </w14:textFill>
        </w:rPr>
        <w:t>℃</w:t>
      </w:r>
      <w:r>
        <w:rPr>
          <w:rFonts w:ascii="Times New Roman"/>
          <w:color w:val="000000" w:themeColor="text1"/>
          <w14:textFill>
            <w14:solidFill>
              <w14:schemeClr w14:val="tx1"/>
            </w14:solidFill>
          </w14:textFill>
        </w:rPr>
        <w:t>保存6个月</w:t>
      </w:r>
      <w:bookmarkEnd w:id="74"/>
      <w:bookmarkEnd w:id="75"/>
      <w:r>
        <w:rPr>
          <w:rFonts w:ascii="Times New Roman"/>
          <w:color w:val="000000" w:themeColor="text1"/>
          <w14:textFill>
            <w14:solidFill>
              <w14:schemeClr w14:val="tx1"/>
            </w14:solidFill>
          </w14:textFill>
        </w:rPr>
        <w:t>；也可直接使用符合要求的有证标准溶液；</w:t>
      </w:r>
    </w:p>
    <w:p w14:paraId="327D0D28">
      <w:pPr>
        <w:pStyle w:val="162"/>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标准混合溶液中间液：取适量标准物质单标溶液用置于容量瓶中，甲醇配制成10 μg/mL的混合标准溶液，</w:t>
      </w:r>
      <w:bookmarkStart w:id="76" w:name="OLE_LINK19"/>
      <w:bookmarkStart w:id="77" w:name="OLE_LINK20"/>
      <w:r>
        <w:rPr>
          <w:rFonts w:ascii="Times New Roman"/>
          <w:color w:val="000000" w:themeColor="text1"/>
          <w14:textFill>
            <w14:solidFill>
              <w14:schemeClr w14:val="tx1"/>
            </w14:solidFill>
          </w14:textFill>
        </w:rPr>
        <w:t>置于冰箱-20</w:t>
      </w:r>
      <w:r>
        <w:rPr>
          <w:rFonts w:hint="eastAsia" w:hAnsi="宋体" w:cs="宋体"/>
          <w:color w:val="000000" w:themeColor="text1"/>
          <w14:textFill>
            <w14:solidFill>
              <w14:schemeClr w14:val="tx1"/>
            </w14:solidFill>
          </w14:textFill>
        </w:rPr>
        <w:t>℃</w:t>
      </w:r>
      <w:r>
        <w:rPr>
          <w:rFonts w:ascii="Times New Roman"/>
          <w:color w:val="000000" w:themeColor="text1"/>
          <w14:textFill>
            <w14:solidFill>
              <w14:schemeClr w14:val="tx1"/>
            </w14:solidFill>
          </w14:textFill>
        </w:rPr>
        <w:t>保存3个月；</w:t>
      </w:r>
      <w:bookmarkEnd w:id="76"/>
      <w:bookmarkEnd w:id="77"/>
    </w:p>
    <w:p w14:paraId="1DB05071">
      <w:pPr>
        <w:pStyle w:val="162"/>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标准混合使用液：取标准混合溶液中间液0.10 mL置于10 mL容量瓶中，用20%（v/v） 甲醇水溶液定容，配成100 μg/L的标准混合溶液使用液；临用现配</w:t>
      </w:r>
    </w:p>
    <w:p w14:paraId="61D4FDEA">
      <w:pPr>
        <w:pStyle w:val="162"/>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同位素内标混合中间液：取适量内标标准品单标溶液置于25 mL容量瓶中，用甲醇配制成4 μg/mL的混合内标溶液，置于冰箱-20</w:t>
      </w:r>
      <w:r>
        <w:rPr>
          <w:rFonts w:hint="eastAsia" w:hAnsi="宋体" w:cs="宋体"/>
          <w:color w:val="000000" w:themeColor="text1"/>
          <w14:textFill>
            <w14:solidFill>
              <w14:schemeClr w14:val="tx1"/>
            </w14:solidFill>
          </w14:textFill>
        </w:rPr>
        <w:t>℃</w:t>
      </w:r>
      <w:r>
        <w:rPr>
          <w:rFonts w:ascii="Times New Roman"/>
          <w:color w:val="000000" w:themeColor="text1"/>
          <w14:textFill>
            <w14:solidFill>
              <w14:schemeClr w14:val="tx1"/>
            </w14:solidFill>
          </w14:textFill>
        </w:rPr>
        <w:t>保存3个月。</w:t>
      </w:r>
    </w:p>
    <w:p w14:paraId="025397B0">
      <w:pPr>
        <w:pStyle w:val="162"/>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同位素内标混合使用液：取内标混合溶液中间液1.00 mL置于10 mL容量瓶中，用20%（v/v） 甲醇水溶液配制成400 μg/L的混合内标使用液。临用现配。</w:t>
      </w:r>
    </w:p>
    <w:p w14:paraId="13E0A0D0">
      <w:pPr>
        <w:pStyle w:val="162"/>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标准系列工作液：分别准确吸取标准混合使用液0 mL、0.05 mL、0.25 mL、0.50 mL、1.00 mL、2.50 mL、5.00 mL于10 mL容量瓶中，加入0.50 mL的内标混合使用液。用20%（v/v） 甲醇水溶液定容至刻度，混匀。各物质浓度分别为0 μg/L、0.50 μg/L、2.50 μg/L、5.00 μg/L、10.0 μg/L、25.0 μg/L、50.0 μg/L，同位素内标浓度为20.0 μg/L。临用现配。</w:t>
      </w:r>
    </w:p>
    <w:p w14:paraId="33A87BEF">
      <w:pPr>
        <w:pStyle w:val="104"/>
        <w:spacing w:before="240" w:after="240"/>
        <w:rPr>
          <w:rFonts w:ascii="Times New Roman"/>
        </w:rPr>
      </w:pPr>
      <w:bookmarkStart w:id="78" w:name="_Toc201759917"/>
      <w:bookmarkStart w:id="79" w:name="_Toc201759954"/>
      <w:r>
        <w:rPr>
          <w:rFonts w:ascii="Times New Roman"/>
        </w:rPr>
        <w:t>仪器设备</w:t>
      </w:r>
      <w:bookmarkEnd w:id="78"/>
      <w:bookmarkEnd w:id="79"/>
    </w:p>
    <w:p w14:paraId="52806C72">
      <w:pPr>
        <w:pStyle w:val="162"/>
        <w:rPr>
          <w:rFonts w:ascii="Times New Roman"/>
        </w:rPr>
      </w:pPr>
      <w:bookmarkStart w:id="80" w:name="_Toc201759918"/>
      <w:r>
        <w:rPr>
          <w:rFonts w:ascii="Times New Roman"/>
        </w:rPr>
        <w:t>液相色谱-三重四极杆质谱仪：配有电喷雾离子源（ESI）</w:t>
      </w:r>
      <w:bookmarkEnd w:id="80"/>
      <w:r>
        <w:rPr>
          <w:rFonts w:ascii="Times New Roman"/>
        </w:rPr>
        <w:t>；</w:t>
      </w:r>
    </w:p>
    <w:p w14:paraId="1BA3C0A4">
      <w:pPr>
        <w:pStyle w:val="162"/>
        <w:rPr>
          <w:rFonts w:ascii="Times New Roman"/>
        </w:rPr>
      </w:pPr>
      <w:bookmarkStart w:id="81" w:name="_Toc201759919"/>
      <w:r>
        <w:rPr>
          <w:rFonts w:ascii="Times New Roman"/>
        </w:rPr>
        <w:t>电子天平：感量为0.0001 g和0.01 g</w:t>
      </w:r>
      <w:bookmarkEnd w:id="81"/>
      <w:r>
        <w:rPr>
          <w:rFonts w:ascii="Times New Roman"/>
        </w:rPr>
        <w:t>；</w:t>
      </w:r>
    </w:p>
    <w:p w14:paraId="040DC630">
      <w:pPr>
        <w:pStyle w:val="162"/>
        <w:rPr>
          <w:rFonts w:ascii="Times New Roman"/>
        </w:rPr>
      </w:pPr>
      <w:bookmarkStart w:id="82" w:name="_Toc201759920"/>
      <w:r>
        <w:rPr>
          <w:rFonts w:ascii="Times New Roman"/>
        </w:rPr>
        <w:t>恒温水浴锅：可控制37</w:t>
      </w:r>
      <w:r>
        <w:rPr>
          <w:rFonts w:hint="eastAsia" w:hAnsi="宋体" w:cs="宋体"/>
        </w:rPr>
        <w:t>℃</w:t>
      </w:r>
      <w:r>
        <w:rPr>
          <w:rFonts w:ascii="Times New Roman"/>
        </w:rPr>
        <w:t>±2</w:t>
      </w:r>
      <w:r>
        <w:rPr>
          <w:rFonts w:hint="eastAsia" w:hAnsi="宋体" w:cs="宋体"/>
        </w:rPr>
        <w:t>℃</w:t>
      </w:r>
      <w:r>
        <w:rPr>
          <w:rFonts w:ascii="Times New Roman"/>
        </w:rPr>
        <w:t>水浴</w:t>
      </w:r>
      <w:bookmarkEnd w:id="82"/>
      <w:r>
        <w:rPr>
          <w:rFonts w:ascii="Times New Roman"/>
        </w:rPr>
        <w:t>；</w:t>
      </w:r>
    </w:p>
    <w:p w14:paraId="09EC9F38">
      <w:pPr>
        <w:pStyle w:val="162"/>
        <w:rPr>
          <w:rFonts w:ascii="Times New Roman"/>
        </w:rPr>
      </w:pPr>
      <w:r>
        <w:rPr>
          <w:rFonts w:ascii="Times New Roman"/>
        </w:rPr>
        <w:t>离心机：最大离心力2860 g，最大转速4500 rpm；</w:t>
      </w:r>
    </w:p>
    <w:p w14:paraId="13EEB246">
      <w:pPr>
        <w:pStyle w:val="162"/>
        <w:rPr>
          <w:rFonts w:ascii="Times New Roman"/>
        </w:rPr>
      </w:pPr>
      <w:bookmarkStart w:id="83" w:name="_Toc201759921"/>
      <w:r>
        <w:rPr>
          <w:rFonts w:ascii="Times New Roman"/>
        </w:rPr>
        <w:t>96孔固相萃取板装置</w:t>
      </w:r>
      <w:bookmarkEnd w:id="83"/>
      <w:r>
        <w:rPr>
          <w:rFonts w:ascii="Times New Roman"/>
        </w:rPr>
        <w:t>；</w:t>
      </w:r>
    </w:p>
    <w:p w14:paraId="004D080F">
      <w:pPr>
        <w:pStyle w:val="162"/>
        <w:rPr>
          <w:rFonts w:ascii="Times New Roman"/>
        </w:rPr>
      </w:pPr>
      <w:bookmarkStart w:id="84" w:name="_Toc201759922"/>
      <w:r>
        <w:rPr>
          <w:rFonts w:ascii="Times New Roman"/>
        </w:rPr>
        <w:t>涡旋混匀器</w:t>
      </w:r>
      <w:bookmarkEnd w:id="84"/>
      <w:r>
        <w:rPr>
          <w:rFonts w:ascii="Times New Roman"/>
        </w:rPr>
        <w:t>；</w:t>
      </w:r>
    </w:p>
    <w:p w14:paraId="354E5CF4">
      <w:pPr>
        <w:pStyle w:val="162"/>
        <w:rPr>
          <w:rFonts w:ascii="Times New Roman"/>
        </w:rPr>
      </w:pPr>
      <w:bookmarkStart w:id="85" w:name="_Toc201759923"/>
      <w:r>
        <w:rPr>
          <w:rFonts w:ascii="Times New Roman"/>
        </w:rPr>
        <w:t>氮吹仪。</w:t>
      </w:r>
      <w:bookmarkEnd w:id="85"/>
    </w:p>
    <w:p w14:paraId="4B5C7E6E">
      <w:pPr>
        <w:pStyle w:val="104"/>
        <w:spacing w:before="240" w:after="240"/>
        <w:rPr>
          <w:rFonts w:ascii="Times New Roman"/>
        </w:rPr>
      </w:pPr>
      <w:bookmarkStart w:id="86" w:name="_Toc201759924"/>
      <w:bookmarkStart w:id="87" w:name="_Toc201759955"/>
      <w:r>
        <w:rPr>
          <w:rFonts w:ascii="Times New Roman"/>
        </w:rPr>
        <w:t>样品采集、运输和保存</w:t>
      </w:r>
      <w:bookmarkEnd w:id="86"/>
      <w:bookmarkEnd w:id="87"/>
    </w:p>
    <w:p w14:paraId="4E9B0051">
      <w:pPr>
        <w:pStyle w:val="105"/>
        <w:spacing w:before="120" w:after="120"/>
        <w:rPr>
          <w:rFonts w:ascii="Times New Roman"/>
        </w:rPr>
      </w:pPr>
      <w:bookmarkStart w:id="88" w:name="_Toc201759925"/>
      <w:r>
        <w:rPr>
          <w:rFonts w:ascii="Times New Roman"/>
        </w:rPr>
        <w:t>样品采集</w:t>
      </w:r>
      <w:bookmarkEnd w:id="88"/>
    </w:p>
    <w:p w14:paraId="0BAA5C26">
      <w:pPr>
        <w:pStyle w:val="56"/>
        <w:ind w:firstLine="420"/>
        <w:rPr>
          <w:rFonts w:ascii="Times New Roman"/>
        </w:rPr>
      </w:pPr>
      <w:r>
        <w:rPr>
          <w:rFonts w:ascii="Times New Roman"/>
        </w:rPr>
        <w:t>按GB/T 38735中规定的方法采集。样品最少采集2.5 mL。采集的样品应装在硼硅酸盐玻璃或聚丙烯材质的采样管中，使用聚丙烯或特氟龙材质的盖子，不得使用橡胶塞。</w:t>
      </w:r>
    </w:p>
    <w:p w14:paraId="7FEE39CC">
      <w:pPr>
        <w:pStyle w:val="105"/>
        <w:spacing w:before="120" w:after="120"/>
        <w:rPr>
          <w:rFonts w:ascii="Times New Roman"/>
        </w:rPr>
      </w:pPr>
      <w:bookmarkStart w:id="89" w:name="_Toc201759926"/>
      <w:r>
        <w:rPr>
          <w:rFonts w:ascii="Times New Roman"/>
        </w:rPr>
        <w:t>样品运输</w:t>
      </w:r>
      <w:bookmarkEnd w:id="89"/>
      <w:r>
        <w:rPr>
          <w:rFonts w:ascii="Times New Roman"/>
        </w:rPr>
        <w:t>与保存</w:t>
      </w:r>
    </w:p>
    <w:p w14:paraId="76140AFD">
      <w:pPr>
        <w:pStyle w:val="56"/>
        <w:ind w:firstLine="420"/>
        <w:rPr>
          <w:rFonts w:ascii="Times New Roman"/>
        </w:rPr>
      </w:pPr>
      <w:r>
        <w:rPr>
          <w:rFonts w:ascii="Times New Roman"/>
        </w:rPr>
        <w:t xml:space="preserve">尿液样品应在-20 </w:t>
      </w:r>
      <w:r>
        <w:rPr>
          <w:rFonts w:hint="eastAsia" w:hAnsi="宋体" w:cs="宋体"/>
        </w:rPr>
        <w:t>℃</w:t>
      </w:r>
      <w:r>
        <w:rPr>
          <w:rFonts w:ascii="Times New Roman"/>
        </w:rPr>
        <w:t xml:space="preserve">以下避光保存。现场采集时，如无冷冻保存条件，可先将尿液样品在放置有冰袋或冰盒的保温箱中暂存，并在12 h内转移至-20 </w:t>
      </w:r>
      <w:r>
        <w:rPr>
          <w:rFonts w:hint="eastAsia" w:hAnsi="宋体" w:cs="宋体"/>
        </w:rPr>
        <w:t>℃</w:t>
      </w:r>
      <w:r>
        <w:rPr>
          <w:rFonts w:ascii="Times New Roman"/>
        </w:rPr>
        <w:t>以下保存。分装和保存过程中应防止样品受到污染或发生所测待测组分含量变化。</w:t>
      </w:r>
    </w:p>
    <w:p w14:paraId="267F55E1">
      <w:pPr>
        <w:pStyle w:val="56"/>
        <w:ind w:firstLine="420"/>
        <w:rPr>
          <w:rFonts w:ascii="Times New Roman"/>
        </w:rPr>
      </w:pPr>
      <w:r>
        <w:rPr>
          <w:rFonts w:ascii="Times New Roman"/>
        </w:rPr>
        <w:t xml:space="preserve">尿液样品应在-20 </w:t>
      </w:r>
      <w:r>
        <w:rPr>
          <w:rFonts w:hint="eastAsia" w:hAnsi="宋体" w:cs="宋体"/>
        </w:rPr>
        <w:t>℃</w:t>
      </w:r>
      <w:r>
        <w:rPr>
          <w:rFonts w:ascii="Times New Roman"/>
        </w:rPr>
        <w:t>以下冷链运输。</w:t>
      </w:r>
    </w:p>
    <w:p w14:paraId="73DBD395">
      <w:pPr>
        <w:pStyle w:val="104"/>
        <w:spacing w:before="240" w:after="240"/>
        <w:rPr>
          <w:rFonts w:ascii="Times New Roman"/>
        </w:rPr>
      </w:pPr>
      <w:bookmarkStart w:id="90" w:name="_Toc201759956"/>
      <w:bookmarkStart w:id="91" w:name="_Toc201759927"/>
      <w:r>
        <w:rPr>
          <w:rFonts w:ascii="Times New Roman"/>
        </w:rPr>
        <w:t>分析步骤</w:t>
      </w:r>
      <w:bookmarkEnd w:id="90"/>
      <w:bookmarkEnd w:id="91"/>
    </w:p>
    <w:p w14:paraId="3B3F66F3">
      <w:pPr>
        <w:pStyle w:val="105"/>
        <w:spacing w:before="120" w:after="120"/>
        <w:rPr>
          <w:rFonts w:ascii="Times New Roman"/>
        </w:rPr>
      </w:pPr>
      <w:bookmarkStart w:id="92" w:name="_Toc201759928"/>
      <w:r>
        <w:rPr>
          <w:rFonts w:ascii="Times New Roman"/>
        </w:rPr>
        <w:t>样品前处理</w:t>
      </w:r>
      <w:bookmarkEnd w:id="92"/>
    </w:p>
    <w:p w14:paraId="591654D8">
      <w:pPr>
        <w:pStyle w:val="65"/>
        <w:spacing w:before="120" w:after="120"/>
        <w:rPr>
          <w:rFonts w:ascii="Times New Roman"/>
        </w:rPr>
      </w:pPr>
      <w:r>
        <w:rPr>
          <w:rFonts w:ascii="Times New Roman"/>
        </w:rPr>
        <w:t>样品准备</w:t>
      </w:r>
    </w:p>
    <w:p w14:paraId="4EB0330B">
      <w:pPr>
        <w:pStyle w:val="56"/>
        <w:ind w:firstLine="420"/>
        <w:rPr>
          <w:rFonts w:ascii="Times New Roman"/>
        </w:rPr>
      </w:pPr>
      <w:r>
        <w:rPr>
          <w:rFonts w:ascii="Times New Roman"/>
        </w:rPr>
        <w:t>将冻存的尿液样品取出，4</w:t>
      </w:r>
      <w:r>
        <w:rPr>
          <w:rFonts w:hint="eastAsia" w:hAnsi="宋体" w:cs="宋体"/>
        </w:rPr>
        <w:t>℃</w:t>
      </w:r>
      <w:r>
        <w:rPr>
          <w:rFonts w:ascii="Times New Roman"/>
        </w:rPr>
        <w:t>下解冻不小于8 h后自然放置至室温。</w:t>
      </w:r>
    </w:p>
    <w:p w14:paraId="0D006469">
      <w:pPr>
        <w:pStyle w:val="65"/>
        <w:spacing w:before="120" w:after="120"/>
        <w:rPr>
          <w:rFonts w:ascii="Times New Roman"/>
        </w:rPr>
      </w:pPr>
      <w:r>
        <w:rPr>
          <w:rFonts w:ascii="Times New Roman"/>
        </w:rPr>
        <w:t>样品制备</w:t>
      </w:r>
    </w:p>
    <w:p w14:paraId="3F8F9A9D">
      <w:pPr>
        <w:pStyle w:val="56"/>
        <w:ind w:firstLine="420"/>
        <w:rPr>
          <w:rFonts w:ascii="Times New Roman"/>
        </w:rPr>
      </w:pPr>
      <w:r>
        <w:rPr>
          <w:rFonts w:ascii="Times New Roman"/>
        </w:rPr>
        <w:t>用涡旋混匀器混匀尿液样品，准确移取1 mL尿液于96孔收集板中，依次加入10 μL 400 μg/L的混合内标（5.15），20 μL β-</w:t>
      </w:r>
      <w:bookmarkStart w:id="93" w:name="OLE_LINK13"/>
      <w:bookmarkStart w:id="94" w:name="OLE_LINK14"/>
      <w:r>
        <w:rPr>
          <w:rFonts w:ascii="Times New Roman"/>
        </w:rPr>
        <w:t>葡萄糖醛酸酶</w:t>
      </w:r>
      <w:bookmarkEnd w:id="93"/>
      <w:bookmarkEnd w:id="94"/>
      <w:r>
        <w:rPr>
          <w:rFonts w:ascii="Times New Roman"/>
        </w:rPr>
        <w:t>（5.8），200 μL 乙酸铵缓冲溶液（5.9），在涡旋混匀器上充分振荡。将样品置于37</w:t>
      </w:r>
      <w:r>
        <w:rPr>
          <w:rFonts w:hint="eastAsia" w:hAnsi="宋体" w:cs="宋体"/>
        </w:rPr>
        <w:t>℃</w:t>
      </w:r>
      <w:r>
        <w:rPr>
          <w:rFonts w:ascii="Times New Roman"/>
        </w:rPr>
        <w:t>水浴酶解过夜（大于12小时）。</w:t>
      </w:r>
    </w:p>
    <w:p w14:paraId="1E04F545">
      <w:pPr>
        <w:pStyle w:val="65"/>
        <w:spacing w:before="120" w:after="120"/>
        <w:rPr>
          <w:rFonts w:ascii="Times New Roman"/>
        </w:rPr>
      </w:pPr>
      <w:r>
        <w:rPr>
          <w:rFonts w:ascii="Times New Roman"/>
        </w:rPr>
        <w:t>固相萃取</w:t>
      </w:r>
    </w:p>
    <w:p w14:paraId="5FF1752D">
      <w:pPr>
        <w:pStyle w:val="56"/>
        <w:ind w:firstLine="420"/>
        <w:rPr>
          <w:rFonts w:ascii="Times New Roman"/>
        </w:rPr>
      </w:pPr>
      <w:r>
        <w:rPr>
          <w:rFonts w:ascii="Times New Roman"/>
        </w:rPr>
        <w:t>依次用1mL甲醇和1mL 纯水活化96孔固相萃取板（5.7）。将8.1.2中上清液转移至96孔固相萃取板中，在不加压力的条件下依靠自然重力过板。样品过板后，用1mL超纯水快速淋洗，负压抽干5 min。后用1 mL甲醇溶液缓慢洗脱固相萃取板，重复一次，采用96孔收集板收集洗脱液。洗脱完毕后，于洗脱液中加入200μL纯水，45</w:t>
      </w:r>
      <w:r>
        <w:rPr>
          <w:rFonts w:hint="eastAsia" w:hAnsi="宋体" w:cs="宋体"/>
        </w:rPr>
        <w:t>℃</w:t>
      </w:r>
      <w:r>
        <w:rPr>
          <w:rFonts w:ascii="Times New Roman"/>
        </w:rPr>
        <w:t>条件下氮吹至约200μL，96孔板离心机离心以4000rpm/min速度离心10min，待进样。</w:t>
      </w:r>
    </w:p>
    <w:p w14:paraId="4C9C5F1F">
      <w:pPr>
        <w:pStyle w:val="105"/>
        <w:spacing w:before="120" w:after="120"/>
        <w:rPr>
          <w:rFonts w:ascii="Times New Roman"/>
        </w:rPr>
      </w:pPr>
      <w:bookmarkStart w:id="95" w:name="_Toc201759929"/>
      <w:r>
        <w:rPr>
          <w:rFonts w:ascii="Times New Roman"/>
        </w:rPr>
        <w:t>推荐分析条件</w:t>
      </w:r>
      <w:bookmarkEnd w:id="95"/>
    </w:p>
    <w:p w14:paraId="190E3068">
      <w:pPr>
        <w:pStyle w:val="65"/>
        <w:spacing w:before="120" w:after="120"/>
        <w:rPr>
          <w:rFonts w:ascii="Times New Roman"/>
        </w:rPr>
      </w:pPr>
      <w:r>
        <w:rPr>
          <w:rFonts w:ascii="Times New Roman"/>
        </w:rPr>
        <w:t>液相色谱参考条件</w:t>
      </w:r>
    </w:p>
    <w:p w14:paraId="7288F88A">
      <w:pPr>
        <w:pStyle w:val="174"/>
        <w:rPr>
          <w:rFonts w:ascii="Times New Roman"/>
        </w:rPr>
      </w:pPr>
      <w:r>
        <w:rPr>
          <w:rFonts w:ascii="Times New Roman"/>
        </w:rPr>
        <w:t>色谱柱：高强度硅胶基质反相C</w:t>
      </w:r>
      <w:r>
        <w:rPr>
          <w:rFonts w:ascii="Times New Roman"/>
          <w:vertAlign w:val="subscript"/>
        </w:rPr>
        <w:t>18</w:t>
      </w:r>
      <w:r>
        <w:rPr>
          <w:rFonts w:ascii="Times New Roman"/>
        </w:rPr>
        <w:t>柱，100 mm（柱长）× 3.0 mm（内径），1.8 μm（粒径），或等效色谱柱。</w:t>
      </w:r>
    </w:p>
    <w:p w14:paraId="5227A9D1">
      <w:pPr>
        <w:pStyle w:val="174"/>
        <w:rPr>
          <w:rFonts w:ascii="Times New Roman"/>
        </w:rPr>
      </w:pPr>
      <w:r>
        <w:rPr>
          <w:rFonts w:ascii="Times New Roman"/>
        </w:rPr>
        <w:t>流动相：A为0.1%甲酸水溶液，B为0.1%甲酸乙腈溶液。梯度洗脱程序见表1。</w:t>
      </w:r>
    </w:p>
    <w:p w14:paraId="0306D86B">
      <w:pPr>
        <w:pStyle w:val="174"/>
        <w:rPr>
          <w:rFonts w:ascii="Times New Roman"/>
        </w:rPr>
      </w:pPr>
      <w:r>
        <w:rPr>
          <w:rFonts w:ascii="Times New Roman"/>
        </w:rPr>
        <w:t>流速：0.30 mL/min。</w:t>
      </w:r>
    </w:p>
    <w:p w14:paraId="02D86FE2">
      <w:pPr>
        <w:pStyle w:val="174"/>
        <w:rPr>
          <w:rFonts w:ascii="Times New Roman"/>
        </w:rPr>
      </w:pPr>
      <w:r>
        <w:rPr>
          <w:rFonts w:ascii="Times New Roman"/>
        </w:rPr>
        <w:t>柱温：</w:t>
      </w:r>
      <w:bookmarkStart w:id="96" w:name="OLE_LINK56"/>
      <w:bookmarkStart w:id="97" w:name="OLE_LINK55"/>
      <w:r>
        <w:rPr>
          <w:rFonts w:ascii="Times New Roman"/>
        </w:rPr>
        <w:t xml:space="preserve">40 </w:t>
      </w:r>
      <w:r>
        <w:rPr>
          <w:rFonts w:hint="eastAsia" w:hAnsi="宋体" w:cs="宋体"/>
        </w:rPr>
        <w:t>℃</w:t>
      </w:r>
      <w:r>
        <w:rPr>
          <w:rFonts w:ascii="Times New Roman"/>
        </w:rPr>
        <w:t>。</w:t>
      </w:r>
      <w:bookmarkEnd w:id="96"/>
      <w:bookmarkEnd w:id="97"/>
    </w:p>
    <w:p w14:paraId="080F5C07">
      <w:pPr>
        <w:pStyle w:val="174"/>
        <w:rPr>
          <w:rFonts w:ascii="Times New Roman"/>
        </w:rPr>
      </w:pPr>
      <w:r>
        <w:rPr>
          <w:rFonts w:ascii="Times New Roman"/>
        </w:rPr>
        <w:t>样品室温度10</w:t>
      </w:r>
      <w:r>
        <w:rPr>
          <w:rFonts w:hint="eastAsia" w:hAnsi="宋体" w:cs="宋体"/>
        </w:rPr>
        <w:t>℃</w:t>
      </w:r>
      <w:r>
        <w:rPr>
          <w:rFonts w:ascii="Times New Roman"/>
        </w:rPr>
        <w:t>。</w:t>
      </w:r>
    </w:p>
    <w:p w14:paraId="10B94525">
      <w:pPr>
        <w:pStyle w:val="174"/>
        <w:rPr>
          <w:rFonts w:ascii="Times New Roman"/>
        </w:rPr>
      </w:pPr>
      <w:r>
        <w:rPr>
          <w:rFonts w:ascii="Times New Roman"/>
        </w:rPr>
        <w:t>进样量：5μL。</w:t>
      </w:r>
    </w:p>
    <w:p w14:paraId="26C6C4C2">
      <w:pPr>
        <w:pStyle w:val="112"/>
        <w:spacing w:before="120" w:after="120"/>
        <w:rPr>
          <w:rFonts w:ascii="Times New Roman"/>
        </w:rPr>
      </w:pPr>
      <w:r>
        <w:rPr>
          <w:rFonts w:ascii="Times New Roman"/>
        </w:rPr>
        <w:t>梯度洗脱条件</w:t>
      </w:r>
    </w:p>
    <w:tbl>
      <w:tblPr>
        <w:tblStyle w:val="27"/>
        <w:tblW w:w="894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983"/>
        <w:gridCol w:w="2983"/>
        <w:gridCol w:w="2983"/>
      </w:tblGrid>
      <w:tr w14:paraId="35D796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983" w:type="dxa"/>
            <w:tcBorders>
              <w:top w:val="single" w:color="auto" w:sz="8" w:space="0"/>
              <w:bottom w:val="single" w:color="auto" w:sz="8" w:space="0"/>
            </w:tcBorders>
            <w:vAlign w:val="bottom"/>
          </w:tcPr>
          <w:p w14:paraId="5D3A86CC">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时间（min）</w:t>
            </w:r>
          </w:p>
        </w:tc>
        <w:tc>
          <w:tcPr>
            <w:tcW w:w="2983" w:type="dxa"/>
            <w:tcBorders>
              <w:top w:val="single" w:color="auto" w:sz="8" w:space="0"/>
              <w:bottom w:val="single" w:color="auto" w:sz="8" w:space="0"/>
            </w:tcBorders>
            <w:vAlign w:val="bottom"/>
          </w:tcPr>
          <w:p w14:paraId="09B4C133">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A（V，%）</w:t>
            </w:r>
          </w:p>
        </w:tc>
        <w:tc>
          <w:tcPr>
            <w:tcW w:w="2983" w:type="dxa"/>
            <w:tcBorders>
              <w:top w:val="single" w:color="auto" w:sz="8" w:space="0"/>
              <w:bottom w:val="single" w:color="auto" w:sz="8" w:space="0"/>
            </w:tcBorders>
            <w:vAlign w:val="bottom"/>
          </w:tcPr>
          <w:p w14:paraId="75430B7F">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B（V，%）</w:t>
            </w:r>
          </w:p>
        </w:tc>
      </w:tr>
      <w:tr w14:paraId="27125E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983" w:type="dxa"/>
            <w:tcBorders>
              <w:top w:val="single" w:color="auto" w:sz="8" w:space="0"/>
            </w:tcBorders>
            <w:vAlign w:val="bottom"/>
          </w:tcPr>
          <w:p w14:paraId="2A6A5690">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初始条件</w:t>
            </w:r>
          </w:p>
        </w:tc>
        <w:tc>
          <w:tcPr>
            <w:tcW w:w="2983" w:type="dxa"/>
            <w:tcBorders>
              <w:top w:val="single" w:color="auto" w:sz="8" w:space="0"/>
            </w:tcBorders>
            <w:vAlign w:val="bottom"/>
          </w:tcPr>
          <w:p w14:paraId="01C81CE8">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97.0</w:t>
            </w:r>
          </w:p>
        </w:tc>
        <w:tc>
          <w:tcPr>
            <w:tcW w:w="2983" w:type="dxa"/>
            <w:tcBorders>
              <w:top w:val="single" w:color="auto" w:sz="8" w:space="0"/>
            </w:tcBorders>
            <w:vAlign w:val="bottom"/>
          </w:tcPr>
          <w:p w14:paraId="0DD725B8">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3.0</w:t>
            </w:r>
          </w:p>
        </w:tc>
      </w:tr>
      <w:tr w14:paraId="7774B7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983" w:type="dxa"/>
            <w:vAlign w:val="bottom"/>
          </w:tcPr>
          <w:p w14:paraId="10F123D6">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0.3</w:t>
            </w:r>
          </w:p>
        </w:tc>
        <w:tc>
          <w:tcPr>
            <w:tcW w:w="2983" w:type="dxa"/>
            <w:vAlign w:val="bottom"/>
          </w:tcPr>
          <w:p w14:paraId="04A24D3C">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97.0</w:t>
            </w:r>
          </w:p>
        </w:tc>
        <w:tc>
          <w:tcPr>
            <w:tcW w:w="2983" w:type="dxa"/>
            <w:vAlign w:val="bottom"/>
          </w:tcPr>
          <w:p w14:paraId="4ADF2623">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3.0</w:t>
            </w:r>
          </w:p>
        </w:tc>
      </w:tr>
      <w:tr w14:paraId="214846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983" w:type="dxa"/>
            <w:vAlign w:val="bottom"/>
          </w:tcPr>
          <w:p w14:paraId="0D3F3080">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0.5</w:t>
            </w:r>
          </w:p>
        </w:tc>
        <w:tc>
          <w:tcPr>
            <w:tcW w:w="2983" w:type="dxa"/>
            <w:vAlign w:val="bottom"/>
          </w:tcPr>
          <w:p w14:paraId="3422FF9C">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85.0</w:t>
            </w:r>
          </w:p>
        </w:tc>
        <w:tc>
          <w:tcPr>
            <w:tcW w:w="2983" w:type="dxa"/>
            <w:vAlign w:val="bottom"/>
          </w:tcPr>
          <w:p w14:paraId="51A55857">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15.0</w:t>
            </w:r>
          </w:p>
        </w:tc>
      </w:tr>
      <w:tr w14:paraId="56D0E3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983" w:type="dxa"/>
            <w:vAlign w:val="bottom"/>
          </w:tcPr>
          <w:p w14:paraId="2BA258CE">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1.0</w:t>
            </w:r>
          </w:p>
        </w:tc>
        <w:tc>
          <w:tcPr>
            <w:tcW w:w="2983" w:type="dxa"/>
            <w:vAlign w:val="bottom"/>
          </w:tcPr>
          <w:p w14:paraId="6906260C">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85.0</w:t>
            </w:r>
          </w:p>
        </w:tc>
        <w:tc>
          <w:tcPr>
            <w:tcW w:w="2983" w:type="dxa"/>
            <w:vAlign w:val="bottom"/>
          </w:tcPr>
          <w:p w14:paraId="29C59305">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15.0</w:t>
            </w:r>
          </w:p>
        </w:tc>
      </w:tr>
      <w:tr w14:paraId="699B07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983" w:type="dxa"/>
            <w:vAlign w:val="bottom"/>
          </w:tcPr>
          <w:p w14:paraId="3B1B0A19">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7.0</w:t>
            </w:r>
          </w:p>
        </w:tc>
        <w:tc>
          <w:tcPr>
            <w:tcW w:w="2983" w:type="dxa"/>
            <w:vAlign w:val="bottom"/>
          </w:tcPr>
          <w:p w14:paraId="1EE9ED9F">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70.0</w:t>
            </w:r>
          </w:p>
        </w:tc>
        <w:tc>
          <w:tcPr>
            <w:tcW w:w="2983" w:type="dxa"/>
            <w:vAlign w:val="bottom"/>
          </w:tcPr>
          <w:p w14:paraId="67C2B6F7">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30.0</w:t>
            </w:r>
          </w:p>
        </w:tc>
      </w:tr>
      <w:tr w14:paraId="2523AA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983" w:type="dxa"/>
            <w:vAlign w:val="bottom"/>
          </w:tcPr>
          <w:p w14:paraId="30F68C5F">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9.5</w:t>
            </w:r>
          </w:p>
        </w:tc>
        <w:tc>
          <w:tcPr>
            <w:tcW w:w="2983" w:type="dxa"/>
            <w:vAlign w:val="bottom"/>
          </w:tcPr>
          <w:p w14:paraId="0C7C6D55">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60.0</w:t>
            </w:r>
          </w:p>
        </w:tc>
        <w:tc>
          <w:tcPr>
            <w:tcW w:w="2983" w:type="dxa"/>
            <w:vAlign w:val="bottom"/>
          </w:tcPr>
          <w:p w14:paraId="09BEE6FB">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40.0</w:t>
            </w:r>
          </w:p>
        </w:tc>
      </w:tr>
      <w:tr w14:paraId="3C62B1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983" w:type="dxa"/>
            <w:vAlign w:val="bottom"/>
          </w:tcPr>
          <w:p w14:paraId="7262DFB6">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11.0</w:t>
            </w:r>
          </w:p>
        </w:tc>
        <w:tc>
          <w:tcPr>
            <w:tcW w:w="2983" w:type="dxa"/>
            <w:vAlign w:val="bottom"/>
          </w:tcPr>
          <w:p w14:paraId="7D8C5215">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5.0</w:t>
            </w:r>
          </w:p>
        </w:tc>
        <w:tc>
          <w:tcPr>
            <w:tcW w:w="2983" w:type="dxa"/>
            <w:vAlign w:val="bottom"/>
          </w:tcPr>
          <w:p w14:paraId="2C807C2F">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95.0</w:t>
            </w:r>
          </w:p>
        </w:tc>
      </w:tr>
      <w:tr w14:paraId="22AE16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983" w:type="dxa"/>
            <w:vAlign w:val="bottom"/>
          </w:tcPr>
          <w:p w14:paraId="7BB7815E">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13.0</w:t>
            </w:r>
          </w:p>
        </w:tc>
        <w:tc>
          <w:tcPr>
            <w:tcW w:w="2983" w:type="dxa"/>
            <w:vAlign w:val="bottom"/>
          </w:tcPr>
          <w:p w14:paraId="1E11814E">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5.0</w:t>
            </w:r>
          </w:p>
        </w:tc>
        <w:tc>
          <w:tcPr>
            <w:tcW w:w="2983" w:type="dxa"/>
            <w:vAlign w:val="bottom"/>
          </w:tcPr>
          <w:p w14:paraId="459F227C">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95.0</w:t>
            </w:r>
          </w:p>
        </w:tc>
      </w:tr>
      <w:tr w14:paraId="66AFE9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983" w:type="dxa"/>
            <w:vAlign w:val="bottom"/>
          </w:tcPr>
          <w:p w14:paraId="27776BD4">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13.5</w:t>
            </w:r>
          </w:p>
        </w:tc>
        <w:tc>
          <w:tcPr>
            <w:tcW w:w="2983" w:type="dxa"/>
            <w:vAlign w:val="bottom"/>
          </w:tcPr>
          <w:p w14:paraId="7CE715FF">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97.0</w:t>
            </w:r>
          </w:p>
        </w:tc>
        <w:tc>
          <w:tcPr>
            <w:tcW w:w="2983" w:type="dxa"/>
            <w:vAlign w:val="bottom"/>
          </w:tcPr>
          <w:p w14:paraId="24033F20">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3.0</w:t>
            </w:r>
          </w:p>
        </w:tc>
      </w:tr>
      <w:tr w14:paraId="2C6DC1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983" w:type="dxa"/>
            <w:vAlign w:val="bottom"/>
          </w:tcPr>
          <w:p w14:paraId="05A4D80D">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16.0</w:t>
            </w:r>
          </w:p>
        </w:tc>
        <w:tc>
          <w:tcPr>
            <w:tcW w:w="2983" w:type="dxa"/>
            <w:vAlign w:val="bottom"/>
          </w:tcPr>
          <w:p w14:paraId="3A81D893">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97.0</w:t>
            </w:r>
          </w:p>
        </w:tc>
        <w:tc>
          <w:tcPr>
            <w:tcW w:w="2983" w:type="dxa"/>
            <w:vAlign w:val="bottom"/>
          </w:tcPr>
          <w:p w14:paraId="0004D4B7">
            <w:pPr>
              <w:snapToGrid w:val="0"/>
              <w:spacing w:line="360" w:lineRule="auto"/>
              <w:jc w:val="center"/>
              <w:rPr>
                <w:rFonts w:ascii="Times New Roman" w:hAnsi="Times New Roman"/>
                <w:color w:val="000000"/>
                <w:sz w:val="18"/>
                <w:szCs w:val="18"/>
              </w:rPr>
            </w:pPr>
            <w:r>
              <w:rPr>
                <w:rFonts w:ascii="Times New Roman" w:hAnsi="Times New Roman"/>
                <w:color w:val="000000"/>
                <w:sz w:val="18"/>
                <w:szCs w:val="18"/>
              </w:rPr>
              <w:t>3.0</w:t>
            </w:r>
          </w:p>
        </w:tc>
      </w:tr>
    </w:tbl>
    <w:p w14:paraId="5775D9F2">
      <w:pPr>
        <w:pStyle w:val="65"/>
        <w:spacing w:before="120" w:after="120"/>
        <w:rPr>
          <w:rFonts w:ascii="Times New Roman"/>
        </w:rPr>
      </w:pPr>
      <w:r>
        <w:rPr>
          <w:rFonts w:ascii="Times New Roman"/>
        </w:rPr>
        <w:t>质谱参考条件</w:t>
      </w:r>
    </w:p>
    <w:p w14:paraId="1CB5BC96">
      <w:pPr>
        <w:pStyle w:val="174"/>
        <w:numPr>
          <w:ilvl w:val="0"/>
          <w:numId w:val="32"/>
        </w:numPr>
        <w:rPr>
          <w:rFonts w:ascii="Times New Roman"/>
        </w:rPr>
      </w:pPr>
      <w:r>
        <w:rPr>
          <w:rFonts w:ascii="Times New Roman"/>
        </w:rPr>
        <w:t>离子源：电喷雾离子源（ESI）；</w:t>
      </w:r>
    </w:p>
    <w:p w14:paraId="7ACA48DC">
      <w:pPr>
        <w:pStyle w:val="174"/>
        <w:rPr>
          <w:rFonts w:ascii="Times New Roman"/>
        </w:rPr>
      </w:pPr>
      <w:r>
        <w:rPr>
          <w:rFonts w:ascii="Times New Roman"/>
        </w:rPr>
        <w:t>电离模式：正电离；</w:t>
      </w:r>
    </w:p>
    <w:p w14:paraId="4831C7DA">
      <w:pPr>
        <w:pStyle w:val="174"/>
        <w:rPr>
          <w:rFonts w:ascii="Times New Roman"/>
        </w:rPr>
      </w:pPr>
      <w:r>
        <w:rPr>
          <w:rFonts w:ascii="Times New Roman"/>
        </w:rPr>
        <w:t>检测方式：多反应监测（MRM）；</w:t>
      </w:r>
    </w:p>
    <w:p w14:paraId="0E8C500A">
      <w:pPr>
        <w:pStyle w:val="174"/>
        <w:rPr>
          <w:rFonts w:ascii="Times New Roman"/>
        </w:rPr>
      </w:pPr>
      <w:r>
        <w:rPr>
          <w:rFonts w:ascii="Times New Roman"/>
        </w:rPr>
        <w:t>其它质谱参数参见附录B。</w:t>
      </w:r>
    </w:p>
    <w:p w14:paraId="54A801A6">
      <w:pPr>
        <w:pStyle w:val="105"/>
        <w:spacing w:before="120" w:after="120"/>
        <w:rPr>
          <w:rFonts w:ascii="Times New Roman"/>
        </w:rPr>
      </w:pPr>
      <w:bookmarkStart w:id="98" w:name="_Toc201759930"/>
      <w:r>
        <w:rPr>
          <w:rFonts w:ascii="Times New Roman"/>
        </w:rPr>
        <w:t>校准</w:t>
      </w:r>
      <w:bookmarkEnd w:id="98"/>
    </w:p>
    <w:p w14:paraId="31F6EF7C">
      <w:pPr>
        <w:pStyle w:val="65"/>
        <w:spacing w:before="120" w:after="120"/>
        <w:rPr>
          <w:rFonts w:ascii="Times New Roman"/>
        </w:rPr>
      </w:pPr>
      <w:r>
        <w:rPr>
          <w:rFonts w:ascii="Times New Roman"/>
        </w:rPr>
        <w:t>标准系列使用溶液配置</w:t>
      </w:r>
    </w:p>
    <w:p w14:paraId="214DF8A7">
      <w:pPr>
        <w:pStyle w:val="56"/>
        <w:ind w:firstLine="420"/>
        <w:rPr>
          <w:rFonts w:ascii="Times New Roman"/>
        </w:rPr>
      </w:pPr>
      <w:r>
        <w:rPr>
          <w:rFonts w:ascii="Times New Roman"/>
        </w:rPr>
        <w:t>按推荐分析条件，依次测定标准系列溶液。以定量离子峰面积和内标峰面积比值为纵坐标，以待测组分的质量浓度与内标质量浓度的比值为横坐标，绘制校准曲线。各化合物的色谱图见附录3。</w:t>
      </w:r>
    </w:p>
    <w:p w14:paraId="71858BBC">
      <w:pPr>
        <w:pStyle w:val="105"/>
        <w:spacing w:before="120" w:after="120"/>
        <w:rPr>
          <w:rFonts w:ascii="Times New Roman"/>
        </w:rPr>
      </w:pPr>
      <w:bookmarkStart w:id="99" w:name="_Toc201759931"/>
      <w:r>
        <w:rPr>
          <w:rFonts w:ascii="Times New Roman"/>
        </w:rPr>
        <w:t>样品测定</w:t>
      </w:r>
      <w:bookmarkEnd w:id="99"/>
    </w:p>
    <w:p w14:paraId="0F2DA906">
      <w:pPr>
        <w:pStyle w:val="65"/>
        <w:spacing w:before="120" w:after="120"/>
        <w:rPr>
          <w:rFonts w:ascii="Times New Roman"/>
        </w:rPr>
      </w:pPr>
      <w:r>
        <w:rPr>
          <w:rFonts w:ascii="Times New Roman"/>
        </w:rPr>
        <w:t>定性分析</w:t>
      </w:r>
    </w:p>
    <w:p w14:paraId="078DDC4D">
      <w:pPr>
        <w:pStyle w:val="56"/>
        <w:ind w:firstLine="420"/>
        <w:rPr>
          <w:rFonts w:ascii="Times New Roman"/>
          <w:szCs w:val="21"/>
        </w:rPr>
      </w:pPr>
      <w:r>
        <w:rPr>
          <w:rFonts w:ascii="Times New Roman"/>
          <w:szCs w:val="21"/>
        </w:rPr>
        <w:t>尿液样品中待测组分的保留时间与校准曲线中相应组分的保留时间偏差应在±2.5%之内。当尿液样品中待测组分定性离子的相对丰度与校准曲线中相近浓度点相应组分定性离子的相对丰度进行比较，偏差不超过表2规定的范围，可判定为样品中存在相应的待测组分。</w:t>
      </w:r>
    </w:p>
    <w:p w14:paraId="634DD041">
      <w:pPr>
        <w:pStyle w:val="112"/>
        <w:spacing w:before="120" w:after="120"/>
        <w:rPr>
          <w:rFonts w:ascii="Times New Roman"/>
        </w:rPr>
      </w:pPr>
      <w:r>
        <w:rPr>
          <w:rFonts w:ascii="Times New Roman"/>
        </w:rPr>
        <w:t>定性离子相对丰度的最大允许偏差</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975"/>
        <w:gridCol w:w="1758"/>
        <w:gridCol w:w="1867"/>
        <w:gridCol w:w="1867"/>
        <w:gridCol w:w="1867"/>
      </w:tblGrid>
      <w:tr w14:paraId="645060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975" w:type="dxa"/>
            <w:tcBorders>
              <w:top w:val="single" w:color="auto" w:sz="8" w:space="0"/>
              <w:bottom w:val="single" w:color="auto" w:sz="8" w:space="0"/>
            </w:tcBorders>
            <w:shd w:val="clear" w:color="auto" w:fill="auto"/>
            <w:vAlign w:val="center"/>
          </w:tcPr>
          <w:p w14:paraId="10D489D3">
            <w:pPr>
              <w:pStyle w:val="178"/>
              <w:rPr>
                <w:rFonts w:ascii="Times New Roman"/>
                <w:szCs w:val="18"/>
              </w:rPr>
            </w:pPr>
            <w:r>
              <w:rPr>
                <w:rFonts w:ascii="Times New Roman"/>
                <w:szCs w:val="18"/>
              </w:rPr>
              <w:t>相对离子丰度 / %</w:t>
            </w:r>
          </w:p>
        </w:tc>
        <w:tc>
          <w:tcPr>
            <w:tcW w:w="1758" w:type="dxa"/>
            <w:tcBorders>
              <w:top w:val="single" w:color="auto" w:sz="8" w:space="0"/>
              <w:bottom w:val="single" w:color="auto" w:sz="8" w:space="0"/>
            </w:tcBorders>
            <w:shd w:val="clear" w:color="auto" w:fill="auto"/>
            <w:vAlign w:val="center"/>
          </w:tcPr>
          <w:p w14:paraId="4DAD33FB">
            <w:pPr>
              <w:pStyle w:val="178"/>
              <w:rPr>
                <w:rFonts w:ascii="Times New Roman"/>
                <w:szCs w:val="18"/>
              </w:rPr>
            </w:pPr>
            <w:r>
              <w:rPr>
                <w:rFonts w:ascii="Times New Roman"/>
                <w:szCs w:val="18"/>
              </w:rPr>
              <w:t>＞50</w:t>
            </w:r>
          </w:p>
        </w:tc>
        <w:tc>
          <w:tcPr>
            <w:tcW w:w="1867" w:type="dxa"/>
            <w:tcBorders>
              <w:top w:val="single" w:color="auto" w:sz="8" w:space="0"/>
              <w:bottom w:val="single" w:color="auto" w:sz="8" w:space="0"/>
            </w:tcBorders>
            <w:shd w:val="clear" w:color="auto" w:fill="auto"/>
            <w:vAlign w:val="center"/>
          </w:tcPr>
          <w:p w14:paraId="4B9B7D2A">
            <w:pPr>
              <w:pStyle w:val="178"/>
              <w:rPr>
                <w:rFonts w:ascii="Times New Roman"/>
                <w:szCs w:val="18"/>
              </w:rPr>
            </w:pPr>
            <w:r>
              <w:rPr>
                <w:rFonts w:ascii="Times New Roman"/>
                <w:szCs w:val="18"/>
              </w:rPr>
              <w:t>20~50</w:t>
            </w:r>
          </w:p>
        </w:tc>
        <w:tc>
          <w:tcPr>
            <w:tcW w:w="1867" w:type="dxa"/>
            <w:tcBorders>
              <w:top w:val="single" w:color="auto" w:sz="8" w:space="0"/>
              <w:bottom w:val="single" w:color="auto" w:sz="8" w:space="0"/>
            </w:tcBorders>
            <w:shd w:val="clear" w:color="auto" w:fill="auto"/>
            <w:vAlign w:val="center"/>
          </w:tcPr>
          <w:p w14:paraId="7E6FC992">
            <w:pPr>
              <w:pStyle w:val="178"/>
              <w:rPr>
                <w:rFonts w:ascii="Times New Roman"/>
                <w:szCs w:val="18"/>
              </w:rPr>
            </w:pPr>
            <w:r>
              <w:rPr>
                <w:rFonts w:ascii="Times New Roman"/>
                <w:szCs w:val="18"/>
              </w:rPr>
              <w:t>10~20</w:t>
            </w:r>
          </w:p>
        </w:tc>
        <w:tc>
          <w:tcPr>
            <w:tcW w:w="1867" w:type="dxa"/>
            <w:tcBorders>
              <w:top w:val="single" w:color="auto" w:sz="8" w:space="0"/>
              <w:bottom w:val="single" w:color="auto" w:sz="8" w:space="0"/>
            </w:tcBorders>
            <w:shd w:val="clear" w:color="auto" w:fill="auto"/>
            <w:vAlign w:val="center"/>
          </w:tcPr>
          <w:p w14:paraId="5BB22E0A">
            <w:pPr>
              <w:pStyle w:val="178"/>
              <w:rPr>
                <w:rFonts w:ascii="Times New Roman"/>
                <w:szCs w:val="18"/>
              </w:rPr>
            </w:pPr>
            <w:r>
              <w:rPr>
                <w:rFonts w:ascii="Times New Roman"/>
                <w:szCs w:val="18"/>
              </w:rPr>
              <w:t>≤10</w:t>
            </w:r>
          </w:p>
        </w:tc>
      </w:tr>
      <w:tr w14:paraId="43B799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975" w:type="dxa"/>
            <w:tcBorders>
              <w:top w:val="single" w:color="auto" w:sz="8" w:space="0"/>
            </w:tcBorders>
            <w:shd w:val="clear" w:color="auto" w:fill="auto"/>
            <w:vAlign w:val="center"/>
          </w:tcPr>
          <w:p w14:paraId="0C7EB765">
            <w:pPr>
              <w:pStyle w:val="178"/>
              <w:rPr>
                <w:rFonts w:ascii="Times New Roman"/>
                <w:szCs w:val="18"/>
              </w:rPr>
            </w:pPr>
            <w:r>
              <w:rPr>
                <w:rFonts w:ascii="Times New Roman"/>
                <w:szCs w:val="18"/>
              </w:rPr>
              <w:t>最大允许偏差 / %</w:t>
            </w:r>
          </w:p>
        </w:tc>
        <w:tc>
          <w:tcPr>
            <w:tcW w:w="1758" w:type="dxa"/>
            <w:tcBorders>
              <w:top w:val="single" w:color="auto" w:sz="8" w:space="0"/>
            </w:tcBorders>
            <w:shd w:val="clear" w:color="auto" w:fill="auto"/>
            <w:vAlign w:val="center"/>
          </w:tcPr>
          <w:p w14:paraId="2565B551">
            <w:pPr>
              <w:pStyle w:val="178"/>
              <w:rPr>
                <w:rFonts w:ascii="Times New Roman"/>
                <w:szCs w:val="18"/>
              </w:rPr>
            </w:pPr>
            <w:r>
              <w:rPr>
                <w:rFonts w:ascii="Times New Roman"/>
                <w:szCs w:val="18"/>
              </w:rPr>
              <w:t>±20</w:t>
            </w:r>
          </w:p>
        </w:tc>
        <w:tc>
          <w:tcPr>
            <w:tcW w:w="1867" w:type="dxa"/>
            <w:tcBorders>
              <w:top w:val="single" w:color="auto" w:sz="8" w:space="0"/>
            </w:tcBorders>
            <w:shd w:val="clear" w:color="auto" w:fill="auto"/>
            <w:vAlign w:val="center"/>
          </w:tcPr>
          <w:p w14:paraId="5B377313">
            <w:pPr>
              <w:pStyle w:val="178"/>
              <w:rPr>
                <w:rFonts w:ascii="Times New Roman"/>
                <w:szCs w:val="18"/>
              </w:rPr>
            </w:pPr>
            <w:r>
              <w:rPr>
                <w:rFonts w:ascii="Times New Roman"/>
                <w:szCs w:val="18"/>
              </w:rPr>
              <w:t>±25</w:t>
            </w:r>
          </w:p>
        </w:tc>
        <w:tc>
          <w:tcPr>
            <w:tcW w:w="1867" w:type="dxa"/>
            <w:tcBorders>
              <w:top w:val="single" w:color="auto" w:sz="8" w:space="0"/>
            </w:tcBorders>
            <w:shd w:val="clear" w:color="auto" w:fill="auto"/>
            <w:vAlign w:val="center"/>
          </w:tcPr>
          <w:p w14:paraId="07E0EC11">
            <w:pPr>
              <w:pStyle w:val="178"/>
              <w:rPr>
                <w:rFonts w:ascii="Times New Roman"/>
                <w:szCs w:val="18"/>
              </w:rPr>
            </w:pPr>
            <w:r>
              <w:rPr>
                <w:rFonts w:ascii="Times New Roman"/>
                <w:szCs w:val="18"/>
              </w:rPr>
              <w:t>±30</w:t>
            </w:r>
          </w:p>
        </w:tc>
        <w:tc>
          <w:tcPr>
            <w:tcW w:w="1867" w:type="dxa"/>
            <w:tcBorders>
              <w:top w:val="single" w:color="auto" w:sz="8" w:space="0"/>
            </w:tcBorders>
            <w:shd w:val="clear" w:color="auto" w:fill="auto"/>
            <w:vAlign w:val="center"/>
          </w:tcPr>
          <w:p w14:paraId="5FA6ED1A">
            <w:pPr>
              <w:pStyle w:val="178"/>
              <w:rPr>
                <w:rFonts w:ascii="Times New Roman"/>
                <w:szCs w:val="18"/>
              </w:rPr>
            </w:pPr>
            <w:r>
              <w:rPr>
                <w:rFonts w:ascii="Times New Roman"/>
                <w:szCs w:val="18"/>
              </w:rPr>
              <w:t>±50</w:t>
            </w:r>
          </w:p>
        </w:tc>
      </w:tr>
    </w:tbl>
    <w:p w14:paraId="6F77BFC0">
      <w:pPr>
        <w:pStyle w:val="65"/>
        <w:spacing w:before="120" w:after="120"/>
        <w:rPr>
          <w:rFonts w:ascii="Times New Roman"/>
        </w:rPr>
      </w:pPr>
      <w:r>
        <w:rPr>
          <w:rFonts w:ascii="Times New Roman"/>
        </w:rPr>
        <w:t>定量分析</w:t>
      </w:r>
    </w:p>
    <w:p w14:paraId="5D55D397">
      <w:pPr>
        <w:pStyle w:val="56"/>
        <w:ind w:firstLine="420"/>
        <w:rPr>
          <w:rFonts w:ascii="Times New Roman"/>
        </w:rPr>
      </w:pPr>
      <w:r>
        <w:rPr>
          <w:rFonts w:ascii="Times New Roman"/>
        </w:rPr>
        <w:t>尿液样品中待测组分的浓度按公式（1）计算：</w:t>
      </w:r>
    </w:p>
    <w:p w14:paraId="45510FEF">
      <w:pPr>
        <w:pStyle w:val="113"/>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ab/>
      </w:r>
      <m:oMath>
        <m:r>
          <m:rPr/>
          <w:rPr>
            <w:rFonts w:ascii="Cambria Math" w:hAnsi="Cambria Math"/>
            <w:color w:val="000000" w:themeColor="text1"/>
            <w14:textFill>
              <w14:solidFill>
                <w14:schemeClr w14:val="tx1"/>
              </w14:solidFill>
            </w14:textFill>
          </w:rPr>
          <m:t>ρ=</m:t>
        </m:r>
        <m:f>
          <m:fPr>
            <m:ctrlPr>
              <w:rPr>
                <w:rFonts w:ascii="Cambria Math" w:hAnsi="Cambria Math"/>
                <w:i/>
                <w:color w:val="000000" w:themeColor="text1"/>
                <w14:textFill>
                  <w14:solidFill>
                    <w14:schemeClr w14:val="tx1"/>
                  </w14:solidFill>
                </w14:textFill>
              </w:rPr>
            </m:ctrlPr>
          </m:fPr>
          <m:num>
            <m:d>
              <m:dPr>
                <m:ctrlPr>
                  <w:rPr>
                    <w:rFonts w:ascii="Cambria Math" w:hAnsi="Cambria Math"/>
                    <w:i/>
                    <w:color w:val="000000" w:themeColor="text1"/>
                    <w14:textFill>
                      <w14:solidFill>
                        <w14:schemeClr w14:val="tx1"/>
                      </w14:solidFill>
                    </w14:textFill>
                  </w:rPr>
                </m:ctrlPr>
              </m:dPr>
              <m:e>
                <m:f>
                  <m:fPr>
                    <m:ctrlPr>
                      <w:rPr>
                        <w:rFonts w:ascii="Cambria Math" w:hAnsi="Cambria Math"/>
                        <w:i/>
                        <w:color w:val="000000" w:themeColor="text1"/>
                        <w14:textFill>
                          <w14:solidFill>
                            <w14:schemeClr w14:val="tx1"/>
                          </w14:solidFill>
                        </w14:textFill>
                      </w:rPr>
                    </m:ctrlPr>
                  </m:fPr>
                  <m:num>
                    <m:sSub>
                      <m:sSubPr>
                        <m:ctrlPr>
                          <w:rPr>
                            <w:rFonts w:ascii="Cambria Math" w:hAnsi="Cambria Math"/>
                            <w:i/>
                            <w:color w:val="000000" w:themeColor="text1"/>
                            <w14:textFill>
                              <w14:solidFill>
                                <w14:schemeClr w14:val="tx1"/>
                              </w14:solidFill>
                            </w14:textFill>
                          </w:rPr>
                        </m:ctrlPr>
                      </m:sSubPr>
                      <m:e>
                        <m:r>
                          <m:rPr/>
                          <w:rPr>
                            <w:rFonts w:ascii="Cambria Math" w:hAnsi="Cambria Math"/>
                            <w:color w:val="000000" w:themeColor="text1"/>
                            <w14:textFill>
                              <w14:solidFill>
                                <w14:schemeClr w14:val="tx1"/>
                              </w14:solidFill>
                            </w14:textFill>
                          </w:rPr>
                          <m:t>A</m:t>
                        </m:r>
                        <m:ctrlPr>
                          <w:rPr>
                            <w:rFonts w:ascii="Cambria Math" w:hAnsi="Cambria Math"/>
                            <w:i/>
                            <w:color w:val="000000" w:themeColor="text1"/>
                            <w14:textFill>
                              <w14:solidFill>
                                <w14:schemeClr w14:val="tx1"/>
                              </w14:solidFill>
                            </w14:textFill>
                          </w:rPr>
                        </m:ctrlPr>
                      </m:e>
                      <m:sub>
                        <m:r>
                          <m:rPr/>
                          <w:rPr>
                            <w:rFonts w:ascii="Cambria Math" w:hAnsi="Cambria Math"/>
                            <w:color w:val="000000" w:themeColor="text1"/>
                            <w14:textFill>
                              <w14:solidFill>
                                <w14:schemeClr w14:val="tx1"/>
                              </w14:solidFill>
                            </w14:textFill>
                          </w:rPr>
                          <m:t>x</m:t>
                        </m:r>
                        <m:ctrlPr>
                          <w:rPr>
                            <w:rFonts w:ascii="Cambria Math" w:hAnsi="Cambria Math"/>
                            <w:i/>
                            <w:color w:val="000000" w:themeColor="text1"/>
                            <w14:textFill>
                              <w14:solidFill>
                                <w14:schemeClr w14:val="tx1"/>
                              </w14:solidFill>
                            </w14:textFill>
                          </w:rPr>
                        </m:ctrlPr>
                      </m:sub>
                    </m:sSub>
                    <m:ctrlPr>
                      <w:rPr>
                        <w:rFonts w:ascii="Cambria Math" w:hAnsi="Cambria Math"/>
                        <w:i/>
                        <w:color w:val="000000" w:themeColor="text1"/>
                        <w14:textFill>
                          <w14:solidFill>
                            <w14:schemeClr w14:val="tx1"/>
                          </w14:solidFill>
                        </w14:textFill>
                      </w:rPr>
                    </m:ctrlPr>
                  </m:num>
                  <m:den>
                    <m:sSub>
                      <m:sSubPr>
                        <m:ctrlPr>
                          <w:rPr>
                            <w:rFonts w:ascii="Cambria Math" w:hAnsi="Cambria Math"/>
                            <w:i/>
                            <w:color w:val="000000" w:themeColor="text1"/>
                            <w14:textFill>
                              <w14:solidFill>
                                <w14:schemeClr w14:val="tx1"/>
                              </w14:solidFill>
                            </w14:textFill>
                          </w:rPr>
                        </m:ctrlPr>
                      </m:sSubPr>
                      <m:e>
                        <m:r>
                          <m:rPr/>
                          <w:rPr>
                            <w:rFonts w:ascii="Cambria Math" w:hAnsi="Cambria Math"/>
                            <w:color w:val="000000" w:themeColor="text1"/>
                            <w14:textFill>
                              <w14:solidFill>
                                <w14:schemeClr w14:val="tx1"/>
                              </w14:solidFill>
                            </w14:textFill>
                          </w:rPr>
                          <m:t>A</m:t>
                        </m:r>
                        <m:ctrlPr>
                          <w:rPr>
                            <w:rFonts w:ascii="Cambria Math" w:hAnsi="Cambria Math"/>
                            <w:i/>
                            <w:color w:val="000000" w:themeColor="text1"/>
                            <w14:textFill>
                              <w14:solidFill>
                                <w14:schemeClr w14:val="tx1"/>
                              </w14:solidFill>
                            </w14:textFill>
                          </w:rPr>
                        </m:ctrlPr>
                      </m:e>
                      <m:sub>
                        <m:r>
                          <m:rPr/>
                          <w:rPr>
                            <w:rFonts w:ascii="Cambria Math" w:hAnsi="Cambria Math"/>
                            <w:color w:val="000000" w:themeColor="text1"/>
                            <w14:textFill>
                              <w14:solidFill>
                                <w14:schemeClr w14:val="tx1"/>
                              </w14:solidFill>
                            </w14:textFill>
                          </w:rPr>
                          <m:t>is</m:t>
                        </m:r>
                        <m:ctrlPr>
                          <w:rPr>
                            <w:rFonts w:ascii="Cambria Math" w:hAnsi="Cambria Math"/>
                            <w:i/>
                            <w:color w:val="000000" w:themeColor="text1"/>
                            <w14:textFill>
                              <w14:solidFill>
                                <w14:schemeClr w14:val="tx1"/>
                              </w14:solidFill>
                            </w14:textFill>
                          </w:rPr>
                        </m:ctrlPr>
                      </m:sub>
                    </m:sSub>
                    <m:ctrlPr>
                      <w:rPr>
                        <w:rFonts w:ascii="Cambria Math" w:hAnsi="Cambria Math"/>
                        <w:i/>
                        <w:color w:val="000000" w:themeColor="text1"/>
                        <w14:textFill>
                          <w14:solidFill>
                            <w14:schemeClr w14:val="tx1"/>
                          </w14:solidFill>
                        </w14:textFill>
                      </w:rPr>
                    </m:ctrlPr>
                  </m:den>
                </m:f>
                <m:r>
                  <m:rPr/>
                  <w:rPr>
                    <w:rFonts w:ascii="Cambria Math" w:hAnsi="Cambria Math" w:eastAsia="MS Mincho"/>
                    <w:color w:val="000000" w:themeColor="text1"/>
                    <w14:textFill>
                      <w14:solidFill>
                        <w14:schemeClr w14:val="tx1"/>
                      </w14:solidFill>
                    </w14:textFill>
                  </w:rPr>
                  <m:t>−b</m:t>
                </m:r>
                <m:ctrlPr>
                  <w:rPr>
                    <w:rFonts w:ascii="Cambria Math" w:hAnsi="Cambria Math"/>
                    <w:i/>
                    <w:color w:val="000000" w:themeColor="text1"/>
                    <w14:textFill>
                      <w14:solidFill>
                        <w14:schemeClr w14:val="tx1"/>
                      </w14:solidFill>
                    </w14:textFill>
                  </w:rPr>
                </m:ctrlPr>
              </m:e>
            </m:d>
            <m:ctrlPr>
              <w:rPr>
                <w:rFonts w:ascii="Cambria Math" w:hAnsi="Cambria Math"/>
                <w:i/>
                <w:color w:val="000000" w:themeColor="text1"/>
                <w14:textFill>
                  <w14:solidFill>
                    <w14:schemeClr w14:val="tx1"/>
                  </w14:solidFill>
                </w14:textFill>
              </w:rPr>
            </m:ctrlPr>
          </m:num>
          <m:den>
            <m:r>
              <m:rPr/>
              <w:rPr>
                <w:rFonts w:ascii="Cambria Math" w:hAnsi="Cambria Math"/>
                <w:color w:val="000000" w:themeColor="text1"/>
                <w14:textFill>
                  <w14:solidFill>
                    <w14:schemeClr w14:val="tx1"/>
                  </w14:solidFill>
                </w14:textFill>
              </w:rPr>
              <m:t>an</m:t>
            </m:r>
            <m:ctrlPr>
              <w:rPr>
                <w:rFonts w:ascii="Cambria Math" w:hAnsi="Cambria Math"/>
                <w:i/>
                <w:color w:val="000000" w:themeColor="text1"/>
                <w14:textFill>
                  <w14:solidFill>
                    <w14:schemeClr w14:val="tx1"/>
                  </w14:solidFill>
                </w14:textFill>
              </w:rPr>
            </m:ctrlPr>
          </m:den>
        </m:f>
        <m:r>
          <m:rPr/>
          <w:rPr>
            <w:rFonts w:ascii="Cambria Math" w:hAnsi="Cambria Math"/>
            <w:color w:val="000000" w:themeColor="text1"/>
            <w14:textFill>
              <w14:solidFill>
                <w14:schemeClr w14:val="tx1"/>
              </w14:solidFill>
            </w14:textFill>
          </w:rPr>
          <m:t>×</m:t>
        </m:r>
        <m:sSub>
          <m:sSubPr>
            <m:ctrlPr>
              <w:rPr>
                <w:rFonts w:ascii="Cambria Math" w:hAnsi="Cambria Math"/>
                <w:i/>
                <w:color w:val="000000" w:themeColor="text1"/>
                <w14:textFill>
                  <w14:solidFill>
                    <w14:schemeClr w14:val="tx1"/>
                  </w14:solidFill>
                </w14:textFill>
              </w:rPr>
            </m:ctrlPr>
          </m:sSubPr>
          <m:e>
            <m:r>
              <m:rPr/>
              <w:rPr>
                <w:rFonts w:ascii="Cambria Math" w:hAnsi="Cambria Math"/>
                <w:color w:val="000000" w:themeColor="text1"/>
                <w14:textFill>
                  <w14:solidFill>
                    <w14:schemeClr w14:val="tx1"/>
                  </w14:solidFill>
                </w14:textFill>
              </w:rPr>
              <m:t>C</m:t>
            </m:r>
            <m:ctrlPr>
              <w:rPr>
                <w:rFonts w:ascii="Cambria Math" w:hAnsi="Cambria Math"/>
                <w:i/>
                <w:color w:val="000000" w:themeColor="text1"/>
                <w14:textFill>
                  <w14:solidFill>
                    <w14:schemeClr w14:val="tx1"/>
                  </w14:solidFill>
                </w14:textFill>
              </w:rPr>
            </m:ctrlPr>
          </m:e>
          <m:sub>
            <m:r>
              <m:rPr/>
              <w:rPr>
                <w:rFonts w:ascii="Cambria Math" w:hAnsi="Cambria Math"/>
                <w:color w:val="000000" w:themeColor="text1"/>
                <w14:textFill>
                  <w14:solidFill>
                    <w14:schemeClr w14:val="tx1"/>
                  </w14:solidFill>
                </w14:textFill>
              </w:rPr>
              <m:t>is</m:t>
            </m:r>
            <m:ctrlPr>
              <w:rPr>
                <w:rFonts w:ascii="Cambria Math" w:hAnsi="Cambria Math"/>
                <w:i/>
                <w:color w:val="000000" w:themeColor="text1"/>
                <w14:textFill>
                  <w14:solidFill>
                    <w14:schemeClr w14:val="tx1"/>
                  </w14:solidFill>
                </w14:textFill>
              </w:rPr>
            </m:ctrlPr>
          </m:sub>
        </m:sSub>
      </m:oMath>
      <w:r>
        <w:rPr>
          <w:rFonts w:ascii="Times New Roman" w:hAnsi="Times New Roman" w:eastAsia="微软雅黑"/>
          <w:color w:val="000000" w:themeColor="text1"/>
          <w14:textFill>
            <w14:solidFill>
              <w14:schemeClr w14:val="tx1"/>
            </w14:solidFill>
          </w14:textFill>
        </w:rPr>
        <w:tab/>
      </w:r>
      <w:r>
        <w:rPr>
          <w:rFonts w:ascii="Times New Roman" w:hAnsi="Times New Roman"/>
          <w:color w:val="000000" w:themeColor="text1"/>
          <w14:textFill>
            <w14:solidFill>
              <w14:schemeClr w14:val="tx1"/>
            </w14:solidFill>
          </w14:textFill>
        </w:rPr>
        <w:t>(</w:t>
      </w:r>
      <w:r>
        <w:rPr>
          <w:rFonts w:ascii="Times New Roman" w:hAnsi="Times New Roman"/>
          <w:color w:val="000000" w:themeColor="text1"/>
          <w14:textFill>
            <w14:solidFill>
              <w14:schemeClr w14:val="tx1"/>
            </w14:solidFill>
          </w14:textFill>
        </w:rPr>
        <w:fldChar w:fldCharType="begin"/>
      </w:r>
      <w:r>
        <w:rPr>
          <w:rFonts w:ascii="Times New Roman" w:hAnsi="Times New Roman"/>
          <w:color w:val="000000" w:themeColor="text1"/>
          <w14:textFill>
            <w14:solidFill>
              <w14:schemeClr w14:val="tx1"/>
            </w14:solidFill>
          </w14:textFill>
        </w:rPr>
        <w:instrText xml:space="preserve"> AUTONUM </w:instrText>
      </w:r>
      <w:r>
        <w:rPr>
          <w:rFonts w:ascii="Times New Roman" w:hAnsi="Times New Roman"/>
          <w:color w:val="000000" w:themeColor="text1"/>
          <w14:textFill>
            <w14:solidFill>
              <w14:schemeClr w14:val="tx1"/>
            </w14:solidFill>
          </w14:textFill>
        </w:rPr>
        <w:fldChar w:fldCharType="end"/>
      </w:r>
      <w:r>
        <w:rPr>
          <w:rFonts w:ascii="Times New Roman" w:hAnsi="Times New Roman"/>
          <w:color w:val="000000" w:themeColor="text1"/>
          <w14:textFill>
            <w14:solidFill>
              <w14:schemeClr w14:val="tx1"/>
            </w14:solidFill>
          </w14:textFill>
        </w:rPr>
        <w:t>)</w:t>
      </w:r>
    </w:p>
    <w:p w14:paraId="531BC983">
      <w:pPr>
        <w:pStyle w:val="105"/>
        <w:numPr>
          <w:ilvl w:val="0"/>
          <w:numId w:val="0"/>
        </w:numPr>
        <w:spacing w:before="120" w:after="120"/>
        <w:rPr>
          <w:rFonts w:ascii="Times New Roman" w:eastAsia="宋体"/>
          <w:color w:val="000000" w:themeColor="text1"/>
          <w:szCs w:val="21"/>
          <w14:textFill>
            <w14:solidFill>
              <w14:schemeClr w14:val="tx1"/>
            </w14:solidFill>
          </w14:textFill>
        </w:rPr>
      </w:pPr>
      <w:bookmarkStart w:id="100" w:name="_Toc201759932"/>
      <w:r>
        <w:rPr>
          <w:rFonts w:ascii="Times New Roman" w:eastAsia="宋体"/>
          <w:color w:val="000000" w:themeColor="text1"/>
          <w:szCs w:val="21"/>
          <w14:textFill>
            <w14:solidFill>
              <w14:schemeClr w14:val="tx1"/>
            </w14:solidFill>
          </w14:textFill>
        </w:rPr>
        <w:t>式中：</w:t>
      </w:r>
      <w:bookmarkEnd w:id="100"/>
    </w:p>
    <w:p w14:paraId="6E0DA4D8">
      <w:pPr>
        <w:pStyle w:val="105"/>
        <w:numPr>
          <w:ilvl w:val="0"/>
          <w:numId w:val="0"/>
        </w:numPr>
        <w:spacing w:before="120" w:after="120"/>
        <w:ind w:left="709"/>
        <w:rPr>
          <w:rFonts w:ascii="Times New Roman" w:eastAsia="宋体"/>
          <w:color w:val="000000" w:themeColor="text1"/>
          <w:szCs w:val="21"/>
          <w14:textFill>
            <w14:solidFill>
              <w14:schemeClr w14:val="tx1"/>
            </w14:solidFill>
          </w14:textFill>
        </w:rPr>
      </w:pPr>
      <w:bookmarkStart w:id="101" w:name="_Toc201759933"/>
      <w:r>
        <w:rPr>
          <w:rFonts w:ascii="Times New Roman" w:eastAsia="宋体"/>
          <w:i/>
          <w:color w:val="000000" w:themeColor="text1"/>
          <w:szCs w:val="21"/>
          <w14:textFill>
            <w14:solidFill>
              <w14:schemeClr w14:val="tx1"/>
            </w14:solidFill>
          </w14:textFill>
        </w:rPr>
        <w:t>ρ</w:t>
      </w:r>
      <w:r>
        <w:rPr>
          <w:rFonts w:ascii="Times New Roman" w:eastAsia="宋体"/>
          <w:color w:val="000000" w:themeColor="text1"/>
          <w:szCs w:val="21"/>
          <w14:textFill>
            <w14:solidFill>
              <w14:schemeClr w14:val="tx1"/>
            </w14:solidFill>
          </w14:textFill>
        </w:rPr>
        <w:t>—尿液样品中目标分析物的质量浓度，单位为微克/升（</w:t>
      </w:r>
      <w:r>
        <w:rPr>
          <w:rFonts w:ascii="Times New Roman"/>
          <w:szCs w:val="21"/>
        </w:rPr>
        <w:t>μg/L</w:t>
      </w:r>
      <w:r>
        <w:rPr>
          <w:rFonts w:ascii="Times New Roman" w:eastAsia="宋体"/>
          <w:color w:val="000000" w:themeColor="text1"/>
          <w:szCs w:val="21"/>
          <w14:textFill>
            <w14:solidFill>
              <w14:schemeClr w14:val="tx1"/>
            </w14:solidFill>
          </w14:textFill>
        </w:rPr>
        <w:t>）；</w:t>
      </w:r>
      <w:bookmarkEnd w:id="101"/>
    </w:p>
    <w:p w14:paraId="006F50C8">
      <w:pPr>
        <w:pStyle w:val="105"/>
        <w:numPr>
          <w:ilvl w:val="0"/>
          <w:numId w:val="0"/>
        </w:numPr>
        <w:spacing w:before="120" w:after="120"/>
        <w:ind w:left="709"/>
        <w:rPr>
          <w:rFonts w:ascii="Times New Roman" w:eastAsia="宋体"/>
          <w:color w:val="000000" w:themeColor="text1"/>
          <w:szCs w:val="21"/>
          <w14:textFill>
            <w14:solidFill>
              <w14:schemeClr w14:val="tx1"/>
            </w14:solidFill>
          </w14:textFill>
        </w:rPr>
      </w:pPr>
      <w:bookmarkStart w:id="102" w:name="_Toc201759934"/>
      <w:r>
        <w:rPr>
          <w:rFonts w:ascii="Times New Roman" w:eastAsia="宋体"/>
          <w:color w:val="000000" w:themeColor="text1"/>
          <w:szCs w:val="21"/>
          <w14:textFill>
            <w14:solidFill>
              <w14:schemeClr w14:val="tx1"/>
            </w14:solidFill>
          </w14:textFill>
        </w:rPr>
        <w:t>A</w:t>
      </w:r>
      <w:r>
        <w:rPr>
          <w:rFonts w:ascii="Times New Roman" w:eastAsia="宋体"/>
          <w:color w:val="000000" w:themeColor="text1"/>
          <w:szCs w:val="21"/>
          <w:vertAlign w:val="subscript"/>
          <w14:textFill>
            <w14:solidFill>
              <w14:schemeClr w14:val="tx1"/>
            </w14:solidFill>
          </w14:textFill>
        </w:rPr>
        <w:t>x</w:t>
      </w:r>
      <w:r>
        <w:rPr>
          <w:rFonts w:ascii="Times New Roman" w:eastAsia="宋体"/>
          <w:color w:val="000000" w:themeColor="text1"/>
          <w:szCs w:val="21"/>
          <w14:textFill>
            <w14:solidFill>
              <w14:schemeClr w14:val="tx1"/>
            </w14:solidFill>
          </w14:textFill>
        </w:rPr>
        <w:t>—目标分析物的峰面积；</w:t>
      </w:r>
      <w:bookmarkEnd w:id="102"/>
    </w:p>
    <w:p w14:paraId="22ABF0E5">
      <w:pPr>
        <w:pStyle w:val="105"/>
        <w:numPr>
          <w:ilvl w:val="0"/>
          <w:numId w:val="0"/>
        </w:numPr>
        <w:spacing w:before="120" w:after="120"/>
        <w:ind w:left="289" w:firstLine="420"/>
        <w:rPr>
          <w:rFonts w:ascii="Times New Roman" w:eastAsia="宋体"/>
          <w:color w:val="000000" w:themeColor="text1"/>
          <w:szCs w:val="21"/>
          <w14:textFill>
            <w14:solidFill>
              <w14:schemeClr w14:val="tx1"/>
            </w14:solidFill>
          </w14:textFill>
        </w:rPr>
      </w:pPr>
      <w:bookmarkStart w:id="103" w:name="_Toc201759935"/>
      <w:r>
        <w:rPr>
          <w:rFonts w:ascii="Times New Roman" w:eastAsia="宋体"/>
          <w:color w:val="000000" w:themeColor="text1"/>
          <w:szCs w:val="21"/>
          <w14:textFill>
            <w14:solidFill>
              <w14:schemeClr w14:val="tx1"/>
            </w14:solidFill>
          </w14:textFill>
        </w:rPr>
        <w:t>A</w:t>
      </w:r>
      <w:r>
        <w:rPr>
          <w:rFonts w:ascii="Times New Roman" w:eastAsia="宋体"/>
          <w:color w:val="000000" w:themeColor="text1"/>
          <w:szCs w:val="21"/>
          <w:vertAlign w:val="subscript"/>
          <w14:textFill>
            <w14:solidFill>
              <w14:schemeClr w14:val="tx1"/>
            </w14:solidFill>
          </w14:textFill>
        </w:rPr>
        <w:t>is</w:t>
      </w:r>
      <w:r>
        <w:rPr>
          <w:rFonts w:ascii="Times New Roman" w:eastAsia="宋体"/>
          <w:color w:val="000000" w:themeColor="text1"/>
          <w:szCs w:val="21"/>
          <w14:textFill>
            <w14:solidFill>
              <w14:schemeClr w14:val="tx1"/>
            </w14:solidFill>
          </w14:textFill>
        </w:rPr>
        <w:t>—目标分析物对应内标的峰面积；</w:t>
      </w:r>
      <w:bookmarkEnd w:id="103"/>
    </w:p>
    <w:p w14:paraId="53ED8007">
      <w:pPr>
        <w:pStyle w:val="105"/>
        <w:numPr>
          <w:ilvl w:val="0"/>
          <w:numId w:val="0"/>
        </w:numPr>
        <w:spacing w:before="120" w:after="120"/>
        <w:ind w:left="709"/>
        <w:rPr>
          <w:rFonts w:ascii="Times New Roman" w:eastAsia="宋体"/>
          <w:color w:val="000000" w:themeColor="text1"/>
          <w:szCs w:val="21"/>
          <w14:textFill>
            <w14:solidFill>
              <w14:schemeClr w14:val="tx1"/>
            </w14:solidFill>
          </w14:textFill>
        </w:rPr>
      </w:pPr>
      <w:bookmarkStart w:id="104" w:name="_Toc201759936"/>
      <w:r>
        <w:rPr>
          <w:rFonts w:ascii="Times New Roman" w:eastAsia="宋体"/>
          <w:color w:val="000000" w:themeColor="text1"/>
          <w:szCs w:val="21"/>
          <w14:textFill>
            <w14:solidFill>
              <w14:schemeClr w14:val="tx1"/>
            </w14:solidFill>
          </w14:textFill>
        </w:rPr>
        <w:t>C</w:t>
      </w:r>
      <w:r>
        <w:rPr>
          <w:rFonts w:ascii="Times New Roman" w:eastAsia="宋体"/>
          <w:color w:val="000000" w:themeColor="text1"/>
          <w:szCs w:val="21"/>
          <w:vertAlign w:val="subscript"/>
          <w14:textFill>
            <w14:solidFill>
              <w14:schemeClr w14:val="tx1"/>
            </w14:solidFill>
          </w14:textFill>
        </w:rPr>
        <w:t>is</w:t>
      </w:r>
      <w:r>
        <w:rPr>
          <w:rFonts w:ascii="Times New Roman" w:eastAsia="宋体"/>
          <w:color w:val="000000" w:themeColor="text1"/>
          <w:szCs w:val="21"/>
          <w14:textFill>
            <w14:solidFill>
              <w14:schemeClr w14:val="tx1"/>
            </w14:solidFill>
          </w14:textFill>
        </w:rPr>
        <w:t>—进样液中内标的理论浓度，单位为纳克/毫升（μg/L）；</w:t>
      </w:r>
      <w:bookmarkEnd w:id="104"/>
    </w:p>
    <w:p w14:paraId="34D3BE6A">
      <w:pPr>
        <w:pStyle w:val="105"/>
        <w:numPr>
          <w:ilvl w:val="0"/>
          <w:numId w:val="0"/>
        </w:numPr>
        <w:spacing w:before="120" w:after="120"/>
        <w:ind w:left="709"/>
        <w:rPr>
          <w:rFonts w:ascii="Times New Roman" w:eastAsia="宋体"/>
          <w:color w:val="000000" w:themeColor="text1"/>
          <w:szCs w:val="21"/>
          <w14:textFill>
            <w14:solidFill>
              <w14:schemeClr w14:val="tx1"/>
            </w14:solidFill>
          </w14:textFill>
        </w:rPr>
      </w:pPr>
      <w:bookmarkStart w:id="105" w:name="_Toc201759937"/>
      <w:r>
        <w:rPr>
          <w:rFonts w:ascii="Times New Roman" w:eastAsia="宋体"/>
          <w:i/>
          <w:color w:val="000000" w:themeColor="text1"/>
          <w:szCs w:val="21"/>
          <w14:textFill>
            <w14:solidFill>
              <w14:schemeClr w14:val="tx1"/>
            </w14:solidFill>
          </w14:textFill>
        </w:rPr>
        <w:t>a</w:t>
      </w:r>
      <w:r>
        <w:rPr>
          <w:rFonts w:ascii="Times New Roman" w:eastAsia="宋体"/>
          <w:color w:val="000000" w:themeColor="text1"/>
          <w:szCs w:val="21"/>
          <w14:textFill>
            <w14:solidFill>
              <w14:schemeClr w14:val="tx1"/>
            </w14:solidFill>
          </w14:textFill>
        </w:rPr>
        <w:t>—校准曲线的斜率；</w:t>
      </w:r>
      <w:bookmarkEnd w:id="105"/>
    </w:p>
    <w:p w14:paraId="16E31DA9">
      <w:pPr>
        <w:pStyle w:val="56"/>
        <w:ind w:firstLine="420"/>
        <w:rPr>
          <w:rFonts w:ascii="Times New Roman"/>
          <w:color w:val="000000" w:themeColor="text1"/>
          <w:szCs w:val="21"/>
          <w14:textFill>
            <w14:solidFill>
              <w14:schemeClr w14:val="tx1"/>
            </w14:solidFill>
          </w14:textFill>
        </w:rPr>
      </w:pPr>
      <w:r>
        <w:rPr>
          <w:rFonts w:ascii="Times New Roman"/>
          <w:color w:val="000000" w:themeColor="text1"/>
          <w14:textFill>
            <w14:solidFill>
              <w14:schemeClr w14:val="tx1"/>
            </w14:solidFill>
          </w14:textFill>
        </w:rPr>
        <w:t xml:space="preserve">   </w:t>
      </w:r>
      <w:r>
        <w:rPr>
          <w:rFonts w:ascii="Times New Roman"/>
          <w:i/>
          <w:color w:val="000000" w:themeColor="text1"/>
          <w14:textFill>
            <w14:solidFill>
              <w14:schemeClr w14:val="tx1"/>
            </w14:solidFill>
          </w14:textFill>
        </w:rPr>
        <w:t>b</w:t>
      </w:r>
      <w:r>
        <w:rPr>
          <w:rFonts w:ascii="Times New Roman"/>
          <w:color w:val="000000" w:themeColor="text1"/>
          <w:szCs w:val="21"/>
          <w14:textFill>
            <w14:solidFill>
              <w14:schemeClr w14:val="tx1"/>
            </w14:solidFill>
          </w14:textFill>
        </w:rPr>
        <w:t>—校准曲线的截距；</w:t>
      </w:r>
    </w:p>
    <w:p w14:paraId="285B0431">
      <w:pPr>
        <w:pStyle w:val="56"/>
        <w:ind w:firstLine="420"/>
        <w:rPr>
          <w:rFonts w:ascii="Times New Roman"/>
          <w:color w:val="000000" w:themeColor="text1"/>
          <w:szCs w:val="21"/>
          <w14:textFill>
            <w14:solidFill>
              <w14:schemeClr w14:val="tx1"/>
            </w14:solidFill>
          </w14:textFill>
        </w:rPr>
      </w:pPr>
      <w:r>
        <w:rPr>
          <w:rFonts w:ascii="Times New Roman"/>
          <w:color w:val="000000" w:themeColor="text1"/>
          <w:szCs w:val="21"/>
          <w14:textFill>
            <w14:solidFill>
              <w14:schemeClr w14:val="tx1"/>
            </w14:solidFill>
          </w14:textFill>
        </w:rPr>
        <w:t xml:space="preserve">   </w:t>
      </w:r>
      <w:r>
        <w:rPr>
          <w:rFonts w:ascii="Times New Roman"/>
          <w:i/>
          <w:color w:val="000000" w:themeColor="text1"/>
          <w:szCs w:val="21"/>
          <w14:textFill>
            <w14:solidFill>
              <w14:schemeClr w14:val="tx1"/>
            </w14:solidFill>
          </w14:textFill>
        </w:rPr>
        <w:t>n</w:t>
      </w:r>
      <w:r>
        <w:rPr>
          <w:rFonts w:ascii="Times New Roman"/>
          <w:color w:val="000000" w:themeColor="text1"/>
          <w:szCs w:val="21"/>
          <w14:textFill>
            <w14:solidFill>
              <w14:schemeClr w14:val="tx1"/>
            </w14:solidFill>
          </w14:textFill>
        </w:rPr>
        <w:t>—尿液前处理浓缩倍数。</w:t>
      </w:r>
    </w:p>
    <w:p w14:paraId="55442203">
      <w:pPr>
        <w:pStyle w:val="56"/>
        <w:ind w:firstLine="420"/>
        <w:rPr>
          <w:rFonts w:ascii="Times New Roman"/>
          <w:color w:val="000000" w:themeColor="text1"/>
          <w14:textFill>
            <w14:solidFill>
              <w14:schemeClr w14:val="tx1"/>
            </w14:solidFill>
          </w14:textFill>
        </w:rPr>
      </w:pPr>
      <w:r>
        <w:rPr>
          <w:rFonts w:ascii="Times New Roman"/>
          <w:color w:val="000000" w:themeColor="text1"/>
          <w:szCs w:val="21"/>
          <w14:textFill>
            <w14:solidFill>
              <w14:schemeClr w14:val="tx1"/>
            </w14:solidFill>
          </w14:textFill>
        </w:rPr>
        <w:t>结果保留3位有效数字。</w:t>
      </w:r>
    </w:p>
    <w:p w14:paraId="40D29BAC">
      <w:pPr>
        <w:pStyle w:val="105"/>
        <w:spacing w:before="120" w:after="120"/>
        <w:rPr>
          <w:rFonts w:ascii="Times New Roman"/>
          <w:color w:val="000000" w:themeColor="text1"/>
          <w14:textFill>
            <w14:solidFill>
              <w14:schemeClr w14:val="tx1"/>
            </w14:solidFill>
          </w14:textFill>
        </w:rPr>
      </w:pPr>
      <w:bookmarkStart w:id="106" w:name="_Toc201759938"/>
      <w:r>
        <w:rPr>
          <w:rFonts w:ascii="Times New Roman"/>
          <w:color w:val="000000" w:themeColor="text1"/>
          <w14:textFill>
            <w14:solidFill>
              <w14:schemeClr w14:val="tx1"/>
            </w14:solidFill>
          </w14:textFill>
        </w:rPr>
        <w:t>方法空白试验</w:t>
      </w:r>
      <w:bookmarkEnd w:id="106"/>
    </w:p>
    <w:p w14:paraId="18BC26A1">
      <w:pPr>
        <w:pStyle w:val="56"/>
        <w:ind w:firstLine="420"/>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除不加样品外，方法空白试验按分析步骤进行试验。</w:t>
      </w:r>
    </w:p>
    <w:p w14:paraId="4E30CDF2">
      <w:pPr>
        <w:pStyle w:val="104"/>
        <w:spacing w:before="240" w:after="240"/>
        <w:rPr>
          <w:rFonts w:ascii="Times New Roman"/>
        </w:rPr>
      </w:pPr>
      <w:bookmarkStart w:id="107" w:name="_Toc201759957"/>
      <w:bookmarkStart w:id="108" w:name="_Toc201759939"/>
      <w:r>
        <w:rPr>
          <w:rFonts w:ascii="Times New Roman"/>
        </w:rPr>
        <w:t>方法特性</w:t>
      </w:r>
      <w:bookmarkEnd w:id="107"/>
      <w:bookmarkEnd w:id="108"/>
    </w:p>
    <w:p w14:paraId="68D05CC5">
      <w:pPr>
        <w:pStyle w:val="105"/>
        <w:spacing w:before="120" w:after="120"/>
        <w:rPr>
          <w:rFonts w:ascii="Times New Roman"/>
        </w:rPr>
      </w:pPr>
      <w:bookmarkStart w:id="109" w:name="_Toc201759940"/>
      <w:r>
        <w:rPr>
          <w:rFonts w:ascii="Times New Roman"/>
        </w:rPr>
        <w:t>方法检出限与定量限</w:t>
      </w:r>
      <w:bookmarkEnd w:id="109"/>
    </w:p>
    <w:p w14:paraId="02FAD044">
      <w:pPr>
        <w:pStyle w:val="56"/>
        <w:ind w:firstLine="420"/>
        <w:rPr>
          <w:rFonts w:ascii="Times New Roman"/>
          <w:szCs w:val="21"/>
        </w:rPr>
      </w:pPr>
      <w:r>
        <w:rPr>
          <w:rFonts w:ascii="Times New Roman"/>
          <w:szCs w:val="21"/>
        </w:rPr>
        <w:t>19种目标物的方法检出限范围是0.03 μg/L ~0.</w:t>
      </w:r>
      <w:r>
        <w:rPr>
          <w:rFonts w:hint="eastAsia" w:ascii="Times New Roman"/>
          <w:szCs w:val="21"/>
        </w:rPr>
        <w:t>20</w:t>
      </w:r>
      <w:r>
        <w:rPr>
          <w:rFonts w:ascii="Times New Roman"/>
          <w:szCs w:val="21"/>
        </w:rPr>
        <w:t xml:space="preserve"> μg/L，方法定量限为0.</w:t>
      </w:r>
      <w:r>
        <w:rPr>
          <w:rFonts w:hint="eastAsia" w:ascii="Times New Roman"/>
          <w:szCs w:val="21"/>
        </w:rPr>
        <w:t>10</w:t>
      </w:r>
      <w:r>
        <w:rPr>
          <w:rFonts w:ascii="Times New Roman"/>
          <w:szCs w:val="21"/>
        </w:rPr>
        <w:t xml:space="preserve"> </w:t>
      </w:r>
      <w:bookmarkStart w:id="110" w:name="OLE_LINK2"/>
      <w:bookmarkStart w:id="111" w:name="OLE_LINK1"/>
      <w:r>
        <w:rPr>
          <w:rFonts w:ascii="Times New Roman"/>
          <w:szCs w:val="21"/>
        </w:rPr>
        <w:t>μg/L</w:t>
      </w:r>
      <w:bookmarkEnd w:id="110"/>
      <w:bookmarkEnd w:id="111"/>
      <w:r>
        <w:rPr>
          <w:rFonts w:ascii="Times New Roman"/>
          <w:szCs w:val="21"/>
        </w:rPr>
        <w:t xml:space="preserve"> ~ 0.</w:t>
      </w:r>
      <w:r>
        <w:rPr>
          <w:rFonts w:hint="eastAsia" w:ascii="Times New Roman"/>
          <w:szCs w:val="21"/>
        </w:rPr>
        <w:t>80</w:t>
      </w:r>
      <w:r>
        <w:rPr>
          <w:rFonts w:ascii="Times New Roman"/>
          <w:szCs w:val="21"/>
        </w:rPr>
        <w:t xml:space="preserve"> μg/L。各化合物的检出限和定量限见表3。</w:t>
      </w:r>
    </w:p>
    <w:p w14:paraId="0E4CA30C">
      <w:pPr>
        <w:pStyle w:val="112"/>
        <w:spacing w:before="120" w:after="120"/>
        <w:rPr>
          <w:rFonts w:ascii="Times New Roman"/>
        </w:rPr>
      </w:pPr>
      <w:r>
        <w:rPr>
          <w:rFonts w:ascii="Times New Roman"/>
        </w:rPr>
        <w:t>19种抗生素的方法检出限和定量限</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3124"/>
        <w:gridCol w:w="3125"/>
        <w:gridCol w:w="3125"/>
      </w:tblGrid>
      <w:tr w14:paraId="5E220B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3124" w:type="dxa"/>
            <w:tcBorders>
              <w:top w:val="single" w:color="auto" w:sz="8" w:space="0"/>
              <w:bottom w:val="single" w:color="auto" w:sz="8" w:space="0"/>
            </w:tcBorders>
            <w:shd w:val="clear" w:color="auto" w:fill="auto"/>
            <w:vAlign w:val="center"/>
          </w:tcPr>
          <w:p w14:paraId="4F20B832">
            <w:pPr>
              <w:jc w:val="center"/>
              <w:rPr>
                <w:rFonts w:ascii="Times New Roman" w:hAnsi="Times New Roman"/>
              </w:rPr>
            </w:pPr>
            <w:r>
              <w:rPr>
                <w:rFonts w:ascii="Times New Roman" w:hAnsi="Times New Roman"/>
              </w:rPr>
              <w:t>目标分析物</w:t>
            </w:r>
          </w:p>
        </w:tc>
        <w:tc>
          <w:tcPr>
            <w:tcW w:w="3125" w:type="dxa"/>
            <w:tcBorders>
              <w:top w:val="single" w:color="auto" w:sz="8" w:space="0"/>
              <w:bottom w:val="single" w:color="auto" w:sz="8" w:space="0"/>
            </w:tcBorders>
            <w:shd w:val="clear" w:color="auto" w:fill="auto"/>
            <w:vAlign w:val="center"/>
          </w:tcPr>
          <w:p w14:paraId="136858AE">
            <w:pPr>
              <w:jc w:val="center"/>
              <w:rPr>
                <w:rFonts w:ascii="Times New Roman" w:hAnsi="Times New Roman"/>
              </w:rPr>
            </w:pPr>
            <w:r>
              <w:rPr>
                <w:rFonts w:ascii="Times New Roman" w:hAnsi="Times New Roman"/>
              </w:rPr>
              <w:t>方法检出限/（μg/L）</w:t>
            </w:r>
          </w:p>
        </w:tc>
        <w:tc>
          <w:tcPr>
            <w:tcW w:w="3125" w:type="dxa"/>
            <w:tcBorders>
              <w:top w:val="single" w:color="auto" w:sz="8" w:space="0"/>
              <w:bottom w:val="single" w:color="auto" w:sz="8" w:space="0"/>
            </w:tcBorders>
            <w:shd w:val="clear" w:color="auto" w:fill="auto"/>
            <w:vAlign w:val="center"/>
          </w:tcPr>
          <w:p w14:paraId="65C7FE72">
            <w:pPr>
              <w:jc w:val="center"/>
              <w:rPr>
                <w:rFonts w:ascii="Times New Roman" w:hAnsi="Times New Roman"/>
              </w:rPr>
            </w:pPr>
            <w:r>
              <w:rPr>
                <w:rFonts w:ascii="Times New Roman" w:hAnsi="Times New Roman"/>
              </w:rPr>
              <w:t>方法定量限/（μg/L）</w:t>
            </w:r>
          </w:p>
        </w:tc>
      </w:tr>
      <w:tr w14:paraId="5873AB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tcBorders>
              <w:top w:val="single" w:color="auto" w:sz="8" w:space="0"/>
            </w:tcBorders>
            <w:shd w:val="clear" w:color="auto" w:fill="auto"/>
          </w:tcPr>
          <w:p w14:paraId="1C6EEB00">
            <w:pPr>
              <w:jc w:val="center"/>
              <w:rPr>
                <w:rFonts w:ascii="Times New Roman" w:hAnsi="Times New Roman"/>
              </w:rPr>
            </w:pPr>
            <w:bookmarkStart w:id="112" w:name="_Hlk202778135"/>
            <w:r>
              <w:rPr>
                <w:rFonts w:ascii="Times New Roman" w:hAnsi="Times New Roman"/>
              </w:rPr>
              <w:t>阿奇霉素</w:t>
            </w:r>
          </w:p>
        </w:tc>
        <w:tc>
          <w:tcPr>
            <w:tcW w:w="3125" w:type="dxa"/>
            <w:tcBorders>
              <w:top w:val="single" w:color="auto" w:sz="8" w:space="0"/>
            </w:tcBorders>
            <w:shd w:val="clear" w:color="auto" w:fill="auto"/>
          </w:tcPr>
          <w:p w14:paraId="0EB2ED9E">
            <w:pPr>
              <w:jc w:val="center"/>
              <w:rPr>
                <w:rFonts w:ascii="Times New Roman" w:hAnsi="Times New Roman"/>
              </w:rPr>
            </w:pPr>
            <w:r>
              <w:rPr>
                <w:rFonts w:ascii="Times New Roman" w:hAnsi="Times New Roman"/>
              </w:rPr>
              <w:t>0.03</w:t>
            </w:r>
          </w:p>
        </w:tc>
        <w:tc>
          <w:tcPr>
            <w:tcW w:w="3125" w:type="dxa"/>
            <w:tcBorders>
              <w:top w:val="single" w:color="auto" w:sz="8" w:space="0"/>
            </w:tcBorders>
            <w:shd w:val="clear" w:color="auto" w:fill="auto"/>
          </w:tcPr>
          <w:p w14:paraId="08EEA372">
            <w:pPr>
              <w:jc w:val="center"/>
              <w:rPr>
                <w:rFonts w:ascii="Times New Roman" w:hAnsi="Times New Roman"/>
              </w:rPr>
            </w:pPr>
            <w:r>
              <w:rPr>
                <w:rFonts w:ascii="Times New Roman" w:hAnsi="Times New Roman"/>
              </w:rPr>
              <w:t>0.10</w:t>
            </w:r>
          </w:p>
        </w:tc>
      </w:tr>
      <w:tr w14:paraId="00042E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06DA6E76">
            <w:pPr>
              <w:jc w:val="center"/>
              <w:rPr>
                <w:rFonts w:ascii="Times New Roman" w:hAnsi="Times New Roman"/>
              </w:rPr>
            </w:pPr>
            <w:r>
              <w:rPr>
                <w:rFonts w:ascii="Times New Roman" w:hAnsi="Times New Roman"/>
              </w:rPr>
              <w:t>克拉霉素</w:t>
            </w:r>
          </w:p>
        </w:tc>
        <w:tc>
          <w:tcPr>
            <w:tcW w:w="3125" w:type="dxa"/>
            <w:shd w:val="clear" w:color="auto" w:fill="auto"/>
          </w:tcPr>
          <w:p w14:paraId="44CE541A">
            <w:pPr>
              <w:jc w:val="center"/>
              <w:rPr>
                <w:rFonts w:ascii="Times New Roman" w:hAnsi="Times New Roman"/>
              </w:rPr>
            </w:pPr>
            <w:r>
              <w:rPr>
                <w:rFonts w:ascii="Times New Roman" w:hAnsi="Times New Roman"/>
              </w:rPr>
              <w:t>0.03</w:t>
            </w:r>
          </w:p>
        </w:tc>
        <w:tc>
          <w:tcPr>
            <w:tcW w:w="3125" w:type="dxa"/>
            <w:shd w:val="clear" w:color="auto" w:fill="auto"/>
          </w:tcPr>
          <w:p w14:paraId="259F43C6">
            <w:pPr>
              <w:jc w:val="center"/>
              <w:rPr>
                <w:rFonts w:ascii="Times New Roman" w:hAnsi="Times New Roman"/>
              </w:rPr>
            </w:pPr>
            <w:r>
              <w:rPr>
                <w:rFonts w:ascii="Times New Roman" w:hAnsi="Times New Roman"/>
              </w:rPr>
              <w:t>0.</w:t>
            </w:r>
            <w:r>
              <w:rPr>
                <w:rFonts w:hint="eastAsia" w:ascii="Times New Roman" w:hAnsi="Times New Roman"/>
              </w:rPr>
              <w:t>10</w:t>
            </w:r>
          </w:p>
        </w:tc>
      </w:tr>
      <w:tr w14:paraId="73D9A3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53791EE7">
            <w:pPr>
              <w:jc w:val="center"/>
              <w:rPr>
                <w:rFonts w:ascii="Times New Roman" w:hAnsi="Times New Roman"/>
              </w:rPr>
            </w:pPr>
            <w:r>
              <w:rPr>
                <w:rFonts w:ascii="Times New Roman" w:hAnsi="Times New Roman"/>
              </w:rPr>
              <w:t>罗红霉素</w:t>
            </w:r>
          </w:p>
        </w:tc>
        <w:tc>
          <w:tcPr>
            <w:tcW w:w="3125" w:type="dxa"/>
            <w:shd w:val="clear" w:color="auto" w:fill="auto"/>
          </w:tcPr>
          <w:p w14:paraId="779E00F1">
            <w:pPr>
              <w:jc w:val="center"/>
              <w:rPr>
                <w:rFonts w:ascii="Times New Roman" w:hAnsi="Times New Roman"/>
              </w:rPr>
            </w:pPr>
            <w:r>
              <w:rPr>
                <w:rFonts w:ascii="Times New Roman" w:hAnsi="Times New Roman"/>
              </w:rPr>
              <w:t>0.03</w:t>
            </w:r>
          </w:p>
        </w:tc>
        <w:tc>
          <w:tcPr>
            <w:tcW w:w="3125" w:type="dxa"/>
            <w:shd w:val="clear" w:color="auto" w:fill="auto"/>
          </w:tcPr>
          <w:p w14:paraId="4F9BA08B">
            <w:pPr>
              <w:jc w:val="center"/>
              <w:rPr>
                <w:rFonts w:ascii="Times New Roman" w:hAnsi="Times New Roman"/>
              </w:rPr>
            </w:pPr>
            <w:r>
              <w:rPr>
                <w:rFonts w:ascii="Times New Roman" w:hAnsi="Times New Roman"/>
              </w:rPr>
              <w:t>0.10</w:t>
            </w:r>
          </w:p>
        </w:tc>
      </w:tr>
      <w:tr w14:paraId="2FF106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2B51A0EB">
            <w:pPr>
              <w:jc w:val="center"/>
              <w:rPr>
                <w:rFonts w:ascii="Times New Roman" w:hAnsi="Times New Roman"/>
              </w:rPr>
            </w:pPr>
            <w:r>
              <w:rPr>
                <w:rFonts w:ascii="Times New Roman" w:hAnsi="Times New Roman"/>
              </w:rPr>
              <w:t>四环素</w:t>
            </w:r>
          </w:p>
        </w:tc>
        <w:tc>
          <w:tcPr>
            <w:tcW w:w="3125" w:type="dxa"/>
            <w:shd w:val="clear" w:color="auto" w:fill="auto"/>
          </w:tcPr>
          <w:p w14:paraId="67DEC1F1">
            <w:pPr>
              <w:jc w:val="center"/>
              <w:rPr>
                <w:rFonts w:ascii="Times New Roman" w:hAnsi="Times New Roman"/>
              </w:rPr>
            </w:pPr>
            <w:r>
              <w:rPr>
                <w:rFonts w:ascii="Times New Roman" w:hAnsi="Times New Roman"/>
              </w:rPr>
              <w:t>0.03</w:t>
            </w:r>
          </w:p>
        </w:tc>
        <w:tc>
          <w:tcPr>
            <w:tcW w:w="3125" w:type="dxa"/>
            <w:shd w:val="clear" w:color="auto" w:fill="auto"/>
          </w:tcPr>
          <w:p w14:paraId="4236B301">
            <w:pPr>
              <w:jc w:val="center"/>
              <w:rPr>
                <w:rFonts w:ascii="Times New Roman" w:hAnsi="Times New Roman"/>
              </w:rPr>
            </w:pPr>
            <w:r>
              <w:rPr>
                <w:rFonts w:ascii="Times New Roman" w:hAnsi="Times New Roman"/>
              </w:rPr>
              <w:t>0.</w:t>
            </w:r>
            <w:r>
              <w:rPr>
                <w:rFonts w:hint="eastAsia" w:ascii="Times New Roman" w:hAnsi="Times New Roman"/>
              </w:rPr>
              <w:t>10</w:t>
            </w:r>
          </w:p>
        </w:tc>
      </w:tr>
      <w:tr w14:paraId="0FC7B2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44ABCE17">
            <w:pPr>
              <w:jc w:val="center"/>
              <w:rPr>
                <w:rFonts w:ascii="Times New Roman" w:hAnsi="Times New Roman"/>
              </w:rPr>
            </w:pPr>
            <w:r>
              <w:rPr>
                <w:rFonts w:ascii="Times New Roman" w:hAnsi="Times New Roman"/>
              </w:rPr>
              <w:t>强力霉素</w:t>
            </w:r>
          </w:p>
        </w:tc>
        <w:tc>
          <w:tcPr>
            <w:tcW w:w="3125" w:type="dxa"/>
            <w:shd w:val="clear" w:color="auto" w:fill="auto"/>
          </w:tcPr>
          <w:p w14:paraId="1EE6DBF9">
            <w:pPr>
              <w:jc w:val="center"/>
              <w:rPr>
                <w:rFonts w:ascii="Times New Roman" w:hAnsi="Times New Roman"/>
              </w:rPr>
            </w:pPr>
            <w:r>
              <w:rPr>
                <w:rFonts w:ascii="Times New Roman" w:hAnsi="Times New Roman"/>
              </w:rPr>
              <w:t>0.08</w:t>
            </w:r>
          </w:p>
        </w:tc>
        <w:tc>
          <w:tcPr>
            <w:tcW w:w="3125" w:type="dxa"/>
            <w:shd w:val="clear" w:color="auto" w:fill="auto"/>
          </w:tcPr>
          <w:p w14:paraId="4D0AA6D6">
            <w:pPr>
              <w:jc w:val="center"/>
              <w:rPr>
                <w:rFonts w:ascii="Times New Roman" w:hAnsi="Times New Roman"/>
              </w:rPr>
            </w:pPr>
            <w:r>
              <w:rPr>
                <w:rFonts w:ascii="Times New Roman" w:hAnsi="Times New Roman"/>
              </w:rPr>
              <w:t>0.</w:t>
            </w:r>
            <w:r>
              <w:rPr>
                <w:rFonts w:hint="eastAsia" w:ascii="Times New Roman" w:hAnsi="Times New Roman"/>
              </w:rPr>
              <w:t>30</w:t>
            </w:r>
          </w:p>
        </w:tc>
      </w:tr>
      <w:tr w14:paraId="67ED5D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15677FBC">
            <w:pPr>
              <w:jc w:val="center"/>
              <w:rPr>
                <w:rFonts w:ascii="Times New Roman" w:hAnsi="Times New Roman"/>
              </w:rPr>
            </w:pPr>
            <w:r>
              <w:rPr>
                <w:rFonts w:ascii="Times New Roman" w:hAnsi="Times New Roman"/>
              </w:rPr>
              <w:t>土霉素</w:t>
            </w:r>
          </w:p>
        </w:tc>
        <w:tc>
          <w:tcPr>
            <w:tcW w:w="3125" w:type="dxa"/>
            <w:shd w:val="clear" w:color="auto" w:fill="auto"/>
          </w:tcPr>
          <w:p w14:paraId="5A2B5094">
            <w:pPr>
              <w:jc w:val="center"/>
              <w:rPr>
                <w:rFonts w:ascii="Times New Roman" w:hAnsi="Times New Roman"/>
              </w:rPr>
            </w:pPr>
            <w:r>
              <w:rPr>
                <w:rFonts w:ascii="Times New Roman" w:hAnsi="Times New Roman"/>
              </w:rPr>
              <w:t>0.04</w:t>
            </w:r>
          </w:p>
        </w:tc>
        <w:tc>
          <w:tcPr>
            <w:tcW w:w="3125" w:type="dxa"/>
            <w:shd w:val="clear" w:color="auto" w:fill="auto"/>
          </w:tcPr>
          <w:p w14:paraId="4258259F">
            <w:pPr>
              <w:jc w:val="center"/>
              <w:rPr>
                <w:rFonts w:ascii="Times New Roman" w:hAnsi="Times New Roman"/>
              </w:rPr>
            </w:pPr>
            <w:r>
              <w:rPr>
                <w:rFonts w:ascii="Times New Roman" w:hAnsi="Times New Roman"/>
              </w:rPr>
              <w:t>0.1</w:t>
            </w:r>
            <w:r>
              <w:rPr>
                <w:rFonts w:hint="eastAsia" w:ascii="Times New Roman" w:hAnsi="Times New Roman"/>
              </w:rPr>
              <w:t>0</w:t>
            </w:r>
          </w:p>
        </w:tc>
      </w:tr>
      <w:tr w14:paraId="327303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41DDB5A6">
            <w:pPr>
              <w:jc w:val="center"/>
              <w:rPr>
                <w:rFonts w:ascii="Times New Roman" w:hAnsi="Times New Roman"/>
              </w:rPr>
            </w:pPr>
            <w:r>
              <w:rPr>
                <w:rFonts w:ascii="Times New Roman" w:hAnsi="Times New Roman"/>
              </w:rPr>
              <w:t>恩诺沙星</w:t>
            </w:r>
          </w:p>
        </w:tc>
        <w:tc>
          <w:tcPr>
            <w:tcW w:w="3125" w:type="dxa"/>
            <w:shd w:val="clear" w:color="auto" w:fill="auto"/>
          </w:tcPr>
          <w:p w14:paraId="77739DAB">
            <w:pPr>
              <w:jc w:val="center"/>
              <w:rPr>
                <w:rFonts w:ascii="Times New Roman" w:hAnsi="Times New Roman"/>
              </w:rPr>
            </w:pPr>
            <w:r>
              <w:rPr>
                <w:rFonts w:ascii="Times New Roman" w:hAnsi="Times New Roman"/>
              </w:rPr>
              <w:t>0.07</w:t>
            </w:r>
          </w:p>
        </w:tc>
        <w:tc>
          <w:tcPr>
            <w:tcW w:w="3125" w:type="dxa"/>
            <w:shd w:val="clear" w:color="auto" w:fill="auto"/>
          </w:tcPr>
          <w:p w14:paraId="4B9E3CBE">
            <w:pPr>
              <w:jc w:val="center"/>
              <w:rPr>
                <w:rFonts w:ascii="Times New Roman" w:hAnsi="Times New Roman"/>
              </w:rPr>
            </w:pPr>
            <w:r>
              <w:rPr>
                <w:rFonts w:ascii="Times New Roman" w:hAnsi="Times New Roman"/>
              </w:rPr>
              <w:t>0.</w:t>
            </w:r>
            <w:r>
              <w:rPr>
                <w:rFonts w:hint="eastAsia" w:ascii="Times New Roman" w:hAnsi="Times New Roman"/>
              </w:rPr>
              <w:t>30</w:t>
            </w:r>
          </w:p>
        </w:tc>
      </w:tr>
      <w:tr w14:paraId="73AE43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21551F33">
            <w:pPr>
              <w:jc w:val="center"/>
              <w:rPr>
                <w:rFonts w:ascii="Times New Roman" w:hAnsi="Times New Roman"/>
              </w:rPr>
            </w:pPr>
            <w:r>
              <w:rPr>
                <w:rFonts w:ascii="Times New Roman" w:hAnsi="Times New Roman"/>
              </w:rPr>
              <w:t>培氟沙星</w:t>
            </w:r>
          </w:p>
        </w:tc>
        <w:tc>
          <w:tcPr>
            <w:tcW w:w="3125" w:type="dxa"/>
            <w:shd w:val="clear" w:color="auto" w:fill="auto"/>
          </w:tcPr>
          <w:p w14:paraId="3E83BA36">
            <w:pPr>
              <w:jc w:val="center"/>
              <w:rPr>
                <w:rFonts w:ascii="Times New Roman" w:hAnsi="Times New Roman"/>
              </w:rPr>
            </w:pPr>
            <w:r>
              <w:rPr>
                <w:rFonts w:ascii="Times New Roman" w:hAnsi="Times New Roman"/>
              </w:rPr>
              <w:t>0.06</w:t>
            </w:r>
          </w:p>
        </w:tc>
        <w:tc>
          <w:tcPr>
            <w:tcW w:w="3125" w:type="dxa"/>
            <w:shd w:val="clear" w:color="auto" w:fill="auto"/>
          </w:tcPr>
          <w:p w14:paraId="5C3AE9B1">
            <w:pPr>
              <w:jc w:val="center"/>
              <w:rPr>
                <w:rFonts w:ascii="Times New Roman" w:hAnsi="Times New Roman"/>
              </w:rPr>
            </w:pPr>
            <w:r>
              <w:rPr>
                <w:rFonts w:ascii="Times New Roman" w:hAnsi="Times New Roman"/>
              </w:rPr>
              <w:t>0.20</w:t>
            </w:r>
          </w:p>
        </w:tc>
      </w:tr>
      <w:tr w14:paraId="69D8EB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444AA2B2">
            <w:pPr>
              <w:jc w:val="center"/>
              <w:rPr>
                <w:rFonts w:ascii="Times New Roman" w:hAnsi="Times New Roman"/>
              </w:rPr>
            </w:pPr>
            <w:r>
              <w:rPr>
                <w:rFonts w:ascii="Times New Roman" w:hAnsi="Times New Roman"/>
              </w:rPr>
              <w:t>二氟沙星</w:t>
            </w:r>
          </w:p>
        </w:tc>
        <w:tc>
          <w:tcPr>
            <w:tcW w:w="3125" w:type="dxa"/>
            <w:shd w:val="clear" w:color="auto" w:fill="auto"/>
          </w:tcPr>
          <w:p w14:paraId="52C31595">
            <w:pPr>
              <w:jc w:val="center"/>
              <w:rPr>
                <w:rFonts w:ascii="Times New Roman" w:hAnsi="Times New Roman"/>
              </w:rPr>
            </w:pPr>
            <w:r>
              <w:rPr>
                <w:rFonts w:ascii="Times New Roman" w:hAnsi="Times New Roman"/>
              </w:rPr>
              <w:t>0.04</w:t>
            </w:r>
          </w:p>
        </w:tc>
        <w:tc>
          <w:tcPr>
            <w:tcW w:w="3125" w:type="dxa"/>
            <w:shd w:val="clear" w:color="auto" w:fill="auto"/>
          </w:tcPr>
          <w:p w14:paraId="0E4FD933">
            <w:pPr>
              <w:jc w:val="center"/>
              <w:rPr>
                <w:rFonts w:ascii="Times New Roman" w:hAnsi="Times New Roman"/>
              </w:rPr>
            </w:pPr>
            <w:r>
              <w:rPr>
                <w:rFonts w:ascii="Times New Roman" w:hAnsi="Times New Roman"/>
              </w:rPr>
              <w:t>0.1</w:t>
            </w:r>
            <w:r>
              <w:rPr>
                <w:rFonts w:hint="eastAsia" w:ascii="Times New Roman" w:hAnsi="Times New Roman"/>
              </w:rPr>
              <w:t>0</w:t>
            </w:r>
          </w:p>
        </w:tc>
      </w:tr>
      <w:tr w14:paraId="3481A1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317DE96C">
            <w:pPr>
              <w:jc w:val="center"/>
              <w:rPr>
                <w:rFonts w:ascii="Times New Roman" w:hAnsi="Times New Roman"/>
              </w:rPr>
            </w:pPr>
            <w:r>
              <w:rPr>
                <w:rFonts w:ascii="Times New Roman" w:hAnsi="Times New Roman"/>
              </w:rPr>
              <w:t>洛美沙星</w:t>
            </w:r>
          </w:p>
        </w:tc>
        <w:tc>
          <w:tcPr>
            <w:tcW w:w="3125" w:type="dxa"/>
            <w:shd w:val="clear" w:color="auto" w:fill="auto"/>
          </w:tcPr>
          <w:p w14:paraId="69FA21BA">
            <w:pPr>
              <w:jc w:val="center"/>
              <w:rPr>
                <w:rFonts w:ascii="Times New Roman" w:hAnsi="Times New Roman"/>
              </w:rPr>
            </w:pPr>
            <w:r>
              <w:rPr>
                <w:rFonts w:ascii="Times New Roman" w:hAnsi="Times New Roman"/>
              </w:rPr>
              <w:t>0.1</w:t>
            </w:r>
            <w:r>
              <w:rPr>
                <w:rFonts w:hint="eastAsia" w:ascii="Times New Roman" w:hAnsi="Times New Roman"/>
              </w:rPr>
              <w:t>0</w:t>
            </w:r>
          </w:p>
        </w:tc>
        <w:tc>
          <w:tcPr>
            <w:tcW w:w="3125" w:type="dxa"/>
            <w:shd w:val="clear" w:color="auto" w:fill="auto"/>
          </w:tcPr>
          <w:p w14:paraId="232C44D7">
            <w:pPr>
              <w:jc w:val="center"/>
              <w:rPr>
                <w:rFonts w:ascii="Times New Roman" w:hAnsi="Times New Roman"/>
              </w:rPr>
            </w:pPr>
            <w:r>
              <w:rPr>
                <w:rFonts w:ascii="Times New Roman" w:hAnsi="Times New Roman"/>
              </w:rPr>
              <w:t>0.40</w:t>
            </w:r>
          </w:p>
        </w:tc>
      </w:tr>
      <w:tr w14:paraId="3D70FE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4F8C172F">
            <w:pPr>
              <w:jc w:val="center"/>
              <w:rPr>
                <w:rFonts w:ascii="Times New Roman" w:hAnsi="Times New Roman"/>
              </w:rPr>
            </w:pPr>
            <w:r>
              <w:rPr>
                <w:rFonts w:ascii="Times New Roman" w:hAnsi="Times New Roman"/>
              </w:rPr>
              <w:t>磺胺二甲嘧啶</w:t>
            </w:r>
          </w:p>
        </w:tc>
        <w:tc>
          <w:tcPr>
            <w:tcW w:w="3125" w:type="dxa"/>
            <w:shd w:val="clear" w:color="auto" w:fill="auto"/>
          </w:tcPr>
          <w:p w14:paraId="5A38680F">
            <w:pPr>
              <w:jc w:val="center"/>
              <w:rPr>
                <w:rFonts w:ascii="Times New Roman" w:hAnsi="Times New Roman"/>
              </w:rPr>
            </w:pPr>
            <w:r>
              <w:rPr>
                <w:rFonts w:ascii="Times New Roman" w:hAnsi="Times New Roman"/>
              </w:rPr>
              <w:t>0.1</w:t>
            </w:r>
            <w:r>
              <w:rPr>
                <w:rFonts w:hint="eastAsia" w:ascii="Times New Roman" w:hAnsi="Times New Roman"/>
              </w:rPr>
              <w:t>0</w:t>
            </w:r>
          </w:p>
        </w:tc>
        <w:tc>
          <w:tcPr>
            <w:tcW w:w="3125" w:type="dxa"/>
            <w:shd w:val="clear" w:color="auto" w:fill="auto"/>
          </w:tcPr>
          <w:p w14:paraId="46E39716">
            <w:pPr>
              <w:jc w:val="center"/>
              <w:rPr>
                <w:rFonts w:ascii="Times New Roman" w:hAnsi="Times New Roman"/>
              </w:rPr>
            </w:pPr>
            <w:r>
              <w:rPr>
                <w:rFonts w:ascii="Times New Roman" w:hAnsi="Times New Roman"/>
              </w:rPr>
              <w:t>0.40</w:t>
            </w:r>
          </w:p>
        </w:tc>
      </w:tr>
      <w:tr w14:paraId="5C40A6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0D037DBD">
            <w:pPr>
              <w:jc w:val="center"/>
              <w:rPr>
                <w:rFonts w:ascii="Times New Roman" w:hAnsi="Times New Roman"/>
              </w:rPr>
            </w:pPr>
            <w:r>
              <w:rPr>
                <w:rFonts w:ascii="Times New Roman" w:hAnsi="Times New Roman"/>
              </w:rPr>
              <w:t>磺胺甲噁唑</w:t>
            </w:r>
          </w:p>
        </w:tc>
        <w:tc>
          <w:tcPr>
            <w:tcW w:w="3125" w:type="dxa"/>
            <w:shd w:val="clear" w:color="auto" w:fill="auto"/>
          </w:tcPr>
          <w:p w14:paraId="5A32DCD5">
            <w:pPr>
              <w:jc w:val="center"/>
              <w:rPr>
                <w:rFonts w:ascii="Times New Roman" w:hAnsi="Times New Roman"/>
              </w:rPr>
            </w:pPr>
            <w:r>
              <w:rPr>
                <w:rFonts w:ascii="Times New Roman" w:hAnsi="Times New Roman"/>
              </w:rPr>
              <w:t>0.1</w:t>
            </w:r>
            <w:r>
              <w:rPr>
                <w:rFonts w:hint="eastAsia" w:ascii="Times New Roman" w:hAnsi="Times New Roman"/>
              </w:rPr>
              <w:t>0</w:t>
            </w:r>
          </w:p>
        </w:tc>
        <w:tc>
          <w:tcPr>
            <w:tcW w:w="3125" w:type="dxa"/>
            <w:shd w:val="clear" w:color="auto" w:fill="auto"/>
          </w:tcPr>
          <w:p w14:paraId="3AE084C9">
            <w:pPr>
              <w:jc w:val="center"/>
              <w:rPr>
                <w:rFonts w:ascii="Times New Roman" w:hAnsi="Times New Roman"/>
              </w:rPr>
            </w:pPr>
            <w:r>
              <w:rPr>
                <w:rFonts w:ascii="Times New Roman" w:hAnsi="Times New Roman"/>
              </w:rPr>
              <w:t>0.4</w:t>
            </w:r>
            <w:r>
              <w:rPr>
                <w:rFonts w:hint="eastAsia" w:ascii="Times New Roman" w:hAnsi="Times New Roman"/>
              </w:rPr>
              <w:t>0</w:t>
            </w:r>
          </w:p>
        </w:tc>
      </w:tr>
      <w:tr w14:paraId="1813A3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4127CD04">
            <w:pPr>
              <w:jc w:val="center"/>
              <w:rPr>
                <w:rFonts w:ascii="Times New Roman" w:hAnsi="Times New Roman"/>
              </w:rPr>
            </w:pPr>
            <w:r>
              <w:rPr>
                <w:rFonts w:ascii="Times New Roman" w:hAnsi="Times New Roman"/>
              </w:rPr>
              <w:t>磺胺嘧啶</w:t>
            </w:r>
          </w:p>
        </w:tc>
        <w:tc>
          <w:tcPr>
            <w:tcW w:w="3125" w:type="dxa"/>
            <w:shd w:val="clear" w:color="auto" w:fill="auto"/>
          </w:tcPr>
          <w:p w14:paraId="72EA2879">
            <w:pPr>
              <w:jc w:val="center"/>
              <w:rPr>
                <w:rFonts w:ascii="Times New Roman" w:hAnsi="Times New Roman"/>
              </w:rPr>
            </w:pPr>
            <w:r>
              <w:rPr>
                <w:rFonts w:ascii="Times New Roman" w:hAnsi="Times New Roman"/>
              </w:rPr>
              <w:t>0.06</w:t>
            </w:r>
          </w:p>
        </w:tc>
        <w:tc>
          <w:tcPr>
            <w:tcW w:w="3125" w:type="dxa"/>
            <w:shd w:val="clear" w:color="auto" w:fill="auto"/>
          </w:tcPr>
          <w:p w14:paraId="0F50FF06">
            <w:pPr>
              <w:jc w:val="center"/>
              <w:rPr>
                <w:rFonts w:ascii="Times New Roman" w:hAnsi="Times New Roman"/>
              </w:rPr>
            </w:pPr>
            <w:r>
              <w:rPr>
                <w:rFonts w:ascii="Times New Roman" w:hAnsi="Times New Roman"/>
              </w:rPr>
              <w:t>0.</w:t>
            </w:r>
            <w:r>
              <w:rPr>
                <w:rFonts w:hint="eastAsia" w:ascii="Times New Roman" w:hAnsi="Times New Roman"/>
              </w:rPr>
              <w:t>20</w:t>
            </w:r>
          </w:p>
        </w:tc>
      </w:tr>
      <w:tr w14:paraId="619293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7F016849">
            <w:pPr>
              <w:jc w:val="center"/>
              <w:rPr>
                <w:rFonts w:ascii="Times New Roman" w:hAnsi="Times New Roman"/>
              </w:rPr>
            </w:pPr>
            <w:r>
              <w:rPr>
                <w:rFonts w:ascii="Times New Roman" w:hAnsi="Times New Roman"/>
              </w:rPr>
              <w:t>甲氧苄啶</w:t>
            </w:r>
          </w:p>
        </w:tc>
        <w:tc>
          <w:tcPr>
            <w:tcW w:w="3125" w:type="dxa"/>
            <w:shd w:val="clear" w:color="auto" w:fill="auto"/>
          </w:tcPr>
          <w:p w14:paraId="20FC6083">
            <w:pPr>
              <w:jc w:val="center"/>
              <w:rPr>
                <w:rFonts w:ascii="Times New Roman" w:hAnsi="Times New Roman"/>
              </w:rPr>
            </w:pPr>
            <w:r>
              <w:rPr>
                <w:rFonts w:ascii="Times New Roman" w:hAnsi="Times New Roman"/>
              </w:rPr>
              <w:t>0.10</w:t>
            </w:r>
          </w:p>
        </w:tc>
        <w:tc>
          <w:tcPr>
            <w:tcW w:w="3125" w:type="dxa"/>
            <w:shd w:val="clear" w:color="auto" w:fill="auto"/>
          </w:tcPr>
          <w:p w14:paraId="57C9A388">
            <w:pPr>
              <w:jc w:val="center"/>
              <w:rPr>
                <w:rFonts w:ascii="Times New Roman" w:hAnsi="Times New Roman"/>
              </w:rPr>
            </w:pPr>
            <w:r>
              <w:rPr>
                <w:rFonts w:ascii="Times New Roman" w:hAnsi="Times New Roman"/>
              </w:rPr>
              <w:t>0.30</w:t>
            </w:r>
          </w:p>
        </w:tc>
      </w:tr>
      <w:tr w14:paraId="192DC1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6A516F9E">
            <w:pPr>
              <w:jc w:val="center"/>
              <w:rPr>
                <w:rFonts w:ascii="Times New Roman" w:hAnsi="Times New Roman"/>
              </w:rPr>
            </w:pPr>
            <w:r>
              <w:rPr>
                <w:rFonts w:ascii="Times New Roman" w:hAnsi="Times New Roman"/>
              </w:rPr>
              <w:t>磺胺喹噁啉</w:t>
            </w:r>
          </w:p>
        </w:tc>
        <w:tc>
          <w:tcPr>
            <w:tcW w:w="3125" w:type="dxa"/>
            <w:shd w:val="clear" w:color="auto" w:fill="auto"/>
          </w:tcPr>
          <w:p w14:paraId="072957D4">
            <w:pPr>
              <w:jc w:val="center"/>
              <w:rPr>
                <w:rFonts w:ascii="Times New Roman" w:hAnsi="Times New Roman"/>
              </w:rPr>
            </w:pPr>
            <w:r>
              <w:rPr>
                <w:rFonts w:ascii="Times New Roman" w:hAnsi="Times New Roman"/>
              </w:rPr>
              <w:t>0.05</w:t>
            </w:r>
          </w:p>
        </w:tc>
        <w:tc>
          <w:tcPr>
            <w:tcW w:w="3125" w:type="dxa"/>
            <w:shd w:val="clear" w:color="auto" w:fill="auto"/>
          </w:tcPr>
          <w:p w14:paraId="5DCF7735">
            <w:pPr>
              <w:jc w:val="center"/>
              <w:rPr>
                <w:rFonts w:ascii="Times New Roman" w:hAnsi="Times New Roman"/>
              </w:rPr>
            </w:pPr>
            <w:r>
              <w:rPr>
                <w:rFonts w:ascii="Times New Roman" w:hAnsi="Times New Roman"/>
              </w:rPr>
              <w:t>0.</w:t>
            </w:r>
            <w:r>
              <w:rPr>
                <w:rFonts w:hint="eastAsia" w:ascii="Times New Roman" w:hAnsi="Times New Roman"/>
              </w:rPr>
              <w:t>20</w:t>
            </w:r>
          </w:p>
        </w:tc>
      </w:tr>
      <w:tr w14:paraId="40AE73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607C7E8B">
            <w:pPr>
              <w:jc w:val="center"/>
              <w:rPr>
                <w:rFonts w:ascii="Times New Roman" w:hAnsi="Times New Roman"/>
              </w:rPr>
            </w:pPr>
            <w:r>
              <w:rPr>
                <w:rFonts w:ascii="Times New Roman" w:hAnsi="Times New Roman"/>
              </w:rPr>
              <w:t>磺胺氯哒嗪</w:t>
            </w:r>
          </w:p>
        </w:tc>
        <w:tc>
          <w:tcPr>
            <w:tcW w:w="3125" w:type="dxa"/>
            <w:shd w:val="clear" w:color="auto" w:fill="auto"/>
          </w:tcPr>
          <w:p w14:paraId="132ED108">
            <w:pPr>
              <w:jc w:val="center"/>
              <w:rPr>
                <w:rFonts w:ascii="Times New Roman" w:hAnsi="Times New Roman"/>
              </w:rPr>
            </w:pPr>
            <w:r>
              <w:rPr>
                <w:rFonts w:ascii="Times New Roman" w:hAnsi="Times New Roman"/>
              </w:rPr>
              <w:t>0.10</w:t>
            </w:r>
          </w:p>
        </w:tc>
        <w:tc>
          <w:tcPr>
            <w:tcW w:w="3125" w:type="dxa"/>
            <w:shd w:val="clear" w:color="auto" w:fill="auto"/>
          </w:tcPr>
          <w:p w14:paraId="27D92434">
            <w:pPr>
              <w:jc w:val="center"/>
              <w:rPr>
                <w:rFonts w:ascii="Times New Roman" w:hAnsi="Times New Roman"/>
              </w:rPr>
            </w:pPr>
            <w:r>
              <w:rPr>
                <w:rFonts w:ascii="Times New Roman" w:hAnsi="Times New Roman"/>
              </w:rPr>
              <w:t>0.</w:t>
            </w:r>
            <w:r>
              <w:rPr>
                <w:rFonts w:hint="eastAsia" w:ascii="Times New Roman" w:hAnsi="Times New Roman"/>
              </w:rPr>
              <w:t>40</w:t>
            </w:r>
          </w:p>
        </w:tc>
      </w:tr>
      <w:tr w14:paraId="4CBA4F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5180F10A">
            <w:pPr>
              <w:jc w:val="center"/>
              <w:rPr>
                <w:rFonts w:ascii="Times New Roman" w:hAnsi="Times New Roman"/>
              </w:rPr>
            </w:pPr>
            <w:r>
              <w:rPr>
                <w:rFonts w:ascii="Times New Roman" w:hAnsi="Times New Roman"/>
              </w:rPr>
              <w:t>磺胺林</w:t>
            </w:r>
          </w:p>
        </w:tc>
        <w:tc>
          <w:tcPr>
            <w:tcW w:w="3125" w:type="dxa"/>
            <w:shd w:val="clear" w:color="auto" w:fill="auto"/>
          </w:tcPr>
          <w:p w14:paraId="5B81BF5B">
            <w:pPr>
              <w:jc w:val="center"/>
              <w:rPr>
                <w:rFonts w:ascii="Times New Roman" w:hAnsi="Times New Roman"/>
              </w:rPr>
            </w:pPr>
            <w:r>
              <w:rPr>
                <w:rFonts w:ascii="Times New Roman" w:hAnsi="Times New Roman"/>
              </w:rPr>
              <w:t>0.1</w:t>
            </w:r>
            <w:r>
              <w:rPr>
                <w:rFonts w:hint="eastAsia" w:ascii="Times New Roman" w:hAnsi="Times New Roman"/>
              </w:rPr>
              <w:t>0</w:t>
            </w:r>
          </w:p>
        </w:tc>
        <w:tc>
          <w:tcPr>
            <w:tcW w:w="3125" w:type="dxa"/>
            <w:shd w:val="clear" w:color="auto" w:fill="auto"/>
          </w:tcPr>
          <w:p w14:paraId="1AA66D3A">
            <w:pPr>
              <w:jc w:val="center"/>
              <w:rPr>
                <w:rFonts w:ascii="Times New Roman" w:hAnsi="Times New Roman"/>
              </w:rPr>
            </w:pPr>
            <w:r>
              <w:rPr>
                <w:rFonts w:ascii="Times New Roman" w:hAnsi="Times New Roman"/>
              </w:rPr>
              <w:t>0.40</w:t>
            </w:r>
          </w:p>
        </w:tc>
      </w:tr>
      <w:tr w14:paraId="4B4FEA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7983327E">
            <w:pPr>
              <w:jc w:val="center"/>
              <w:rPr>
                <w:rFonts w:ascii="Times New Roman" w:hAnsi="Times New Roman"/>
              </w:rPr>
            </w:pPr>
            <w:r>
              <w:rPr>
                <w:rFonts w:ascii="Times New Roman" w:hAnsi="Times New Roman"/>
              </w:rPr>
              <w:t>头孢克洛</w:t>
            </w:r>
          </w:p>
        </w:tc>
        <w:tc>
          <w:tcPr>
            <w:tcW w:w="3125" w:type="dxa"/>
            <w:shd w:val="clear" w:color="auto" w:fill="auto"/>
          </w:tcPr>
          <w:p w14:paraId="3974A28B">
            <w:pPr>
              <w:jc w:val="center"/>
              <w:rPr>
                <w:rFonts w:ascii="Times New Roman" w:hAnsi="Times New Roman"/>
              </w:rPr>
            </w:pPr>
            <w:r>
              <w:rPr>
                <w:rFonts w:ascii="Times New Roman" w:hAnsi="Times New Roman"/>
              </w:rPr>
              <w:t>0.</w:t>
            </w:r>
            <w:r>
              <w:rPr>
                <w:rFonts w:hint="eastAsia" w:ascii="Times New Roman" w:hAnsi="Times New Roman"/>
              </w:rPr>
              <w:t>20</w:t>
            </w:r>
          </w:p>
        </w:tc>
        <w:tc>
          <w:tcPr>
            <w:tcW w:w="3125" w:type="dxa"/>
            <w:shd w:val="clear" w:color="auto" w:fill="auto"/>
          </w:tcPr>
          <w:p w14:paraId="35BBDCC4">
            <w:pPr>
              <w:jc w:val="center"/>
              <w:rPr>
                <w:rFonts w:ascii="Times New Roman" w:hAnsi="Times New Roman"/>
              </w:rPr>
            </w:pPr>
            <w:r>
              <w:rPr>
                <w:rFonts w:ascii="Times New Roman" w:hAnsi="Times New Roman"/>
              </w:rPr>
              <w:t>0.</w:t>
            </w:r>
            <w:r>
              <w:rPr>
                <w:rFonts w:hint="eastAsia" w:ascii="Times New Roman" w:hAnsi="Times New Roman"/>
              </w:rPr>
              <w:t>8</w:t>
            </w:r>
            <w:r>
              <w:rPr>
                <w:rFonts w:ascii="Times New Roman" w:hAnsi="Times New Roman"/>
              </w:rPr>
              <w:t>0</w:t>
            </w:r>
          </w:p>
        </w:tc>
      </w:tr>
      <w:tr w14:paraId="7C60D7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3124" w:type="dxa"/>
            <w:shd w:val="clear" w:color="auto" w:fill="auto"/>
          </w:tcPr>
          <w:p w14:paraId="1391542F">
            <w:pPr>
              <w:jc w:val="center"/>
              <w:rPr>
                <w:rFonts w:ascii="Times New Roman" w:hAnsi="Times New Roman"/>
              </w:rPr>
            </w:pPr>
            <w:r>
              <w:rPr>
                <w:rFonts w:ascii="Times New Roman" w:hAnsi="Times New Roman"/>
              </w:rPr>
              <w:t>林可霉素</w:t>
            </w:r>
          </w:p>
        </w:tc>
        <w:tc>
          <w:tcPr>
            <w:tcW w:w="3125" w:type="dxa"/>
            <w:shd w:val="clear" w:color="auto" w:fill="auto"/>
          </w:tcPr>
          <w:p w14:paraId="0215295A">
            <w:pPr>
              <w:jc w:val="center"/>
              <w:rPr>
                <w:rFonts w:ascii="Times New Roman" w:hAnsi="Times New Roman"/>
              </w:rPr>
            </w:pPr>
            <w:r>
              <w:rPr>
                <w:rFonts w:ascii="Times New Roman" w:hAnsi="Times New Roman"/>
              </w:rPr>
              <w:t>0.05</w:t>
            </w:r>
          </w:p>
        </w:tc>
        <w:tc>
          <w:tcPr>
            <w:tcW w:w="3125" w:type="dxa"/>
            <w:shd w:val="clear" w:color="auto" w:fill="auto"/>
          </w:tcPr>
          <w:p w14:paraId="779B386D">
            <w:pPr>
              <w:jc w:val="center"/>
              <w:rPr>
                <w:rFonts w:ascii="Times New Roman" w:hAnsi="Times New Roman"/>
              </w:rPr>
            </w:pPr>
            <w:r>
              <w:rPr>
                <w:rFonts w:ascii="Times New Roman" w:hAnsi="Times New Roman"/>
              </w:rPr>
              <w:t>0.</w:t>
            </w:r>
            <w:r>
              <w:rPr>
                <w:rFonts w:hint="eastAsia" w:ascii="Times New Roman" w:hAnsi="Times New Roman"/>
              </w:rPr>
              <w:t>20</w:t>
            </w:r>
          </w:p>
        </w:tc>
      </w:tr>
      <w:bookmarkEnd w:id="112"/>
    </w:tbl>
    <w:p w14:paraId="39FF21E1">
      <w:pPr>
        <w:pStyle w:val="56"/>
        <w:ind w:firstLine="420"/>
        <w:rPr>
          <w:rFonts w:ascii="Times New Roman"/>
        </w:rPr>
      </w:pPr>
    </w:p>
    <w:p w14:paraId="4C955A84">
      <w:pPr>
        <w:pStyle w:val="105"/>
        <w:spacing w:before="120" w:after="120"/>
        <w:rPr>
          <w:rFonts w:ascii="Times New Roman"/>
        </w:rPr>
      </w:pPr>
      <w:bookmarkStart w:id="113" w:name="_Toc201759941"/>
      <w:r>
        <w:rPr>
          <w:rFonts w:ascii="Times New Roman"/>
        </w:rPr>
        <w:t>精密度与回收率</w:t>
      </w:r>
      <w:bookmarkEnd w:id="113"/>
    </w:p>
    <w:p w14:paraId="0A9D8B18">
      <w:pPr>
        <w:pStyle w:val="56"/>
        <w:ind w:firstLine="420"/>
        <w:rPr>
          <w:rFonts w:ascii="Times New Roman"/>
        </w:rPr>
      </w:pPr>
      <w:r>
        <w:rPr>
          <w:rFonts w:ascii="Times New Roman"/>
        </w:rPr>
        <w:t>19种目标物的加标回收率为80.0%~120%范围内，日内精密度小于15.4%，日间精密度小于16.2%。</w:t>
      </w:r>
    </w:p>
    <w:p w14:paraId="5BCDA7C1">
      <w:pPr>
        <w:pStyle w:val="104"/>
        <w:spacing w:before="240" w:after="240"/>
        <w:rPr>
          <w:rFonts w:ascii="Times New Roman"/>
        </w:rPr>
      </w:pPr>
      <w:bookmarkStart w:id="114" w:name="_Toc201759942"/>
      <w:bookmarkStart w:id="115" w:name="_Toc201759958"/>
      <w:r>
        <w:rPr>
          <w:rFonts w:ascii="Times New Roman"/>
        </w:rPr>
        <w:t>质量保证与质量控制</w:t>
      </w:r>
      <w:bookmarkEnd w:id="114"/>
      <w:bookmarkEnd w:id="115"/>
    </w:p>
    <w:p w14:paraId="686928C3">
      <w:pPr>
        <w:pStyle w:val="162"/>
        <w:rPr>
          <w:rFonts w:ascii="Times New Roman"/>
          <w:color w:val="000000" w:themeColor="text1"/>
          <w14:textFill>
            <w14:solidFill>
              <w14:schemeClr w14:val="tx1"/>
            </w14:solidFill>
          </w14:textFill>
        </w:rPr>
      </w:pPr>
      <w:bookmarkStart w:id="116" w:name="OLE_LINK6"/>
      <w:bookmarkStart w:id="117" w:name="OLE_LINK5"/>
      <w:r>
        <w:rPr>
          <w:rFonts w:ascii="Times New Roman"/>
          <w:szCs w:val="21"/>
        </w:rPr>
        <w:t>实验室应经常考察标准曲线校正结果、精密度和回收率，以确定分析系统处于正常状态。</w:t>
      </w:r>
    </w:p>
    <w:p w14:paraId="0F75AA26">
      <w:pPr>
        <w:pStyle w:val="162"/>
        <w:rPr>
          <w:rFonts w:ascii="Times New Roman"/>
        </w:rPr>
      </w:pPr>
      <w:r>
        <w:rPr>
          <w:rFonts w:ascii="Times New Roman"/>
          <w:color w:val="000000" w:themeColor="text1"/>
          <w:szCs w:val="21"/>
          <w14:textFill>
            <w14:solidFill>
              <w14:schemeClr w14:val="tx1"/>
            </w14:solidFill>
          </w14:textFill>
        </w:rPr>
        <w:t>每批试验应至少包含1个质控样品，1个方法空白，并按5%的比例设置平行样（不足20个样品时至少设置1个平行样）。</w:t>
      </w:r>
    </w:p>
    <w:p w14:paraId="5C6705E6">
      <w:pPr>
        <w:pStyle w:val="162"/>
        <w:rPr>
          <w:rFonts w:ascii="Times New Roman"/>
        </w:rPr>
      </w:pPr>
      <w:r>
        <w:rPr>
          <w:rFonts w:ascii="Times New Roman"/>
          <w:color w:val="000000" w:themeColor="text1"/>
          <w:szCs w:val="21"/>
          <w14:textFill>
            <w14:solidFill>
              <w14:schemeClr w14:val="tx1"/>
            </w14:solidFill>
          </w14:textFill>
        </w:rPr>
        <w:t>可使用标准参考物质、质控样品和加标回收等方式评估方法准确性。标准参考物质的检测结果应符合给定的参考值范围；质控样品测定结果应满足每次测定值落在相应目标分析物均值的±2倍标准偏差内，且连续测定</w:t>
      </w:r>
      <w:r>
        <w:rPr>
          <w:rFonts w:ascii="Times New Roman"/>
          <w:szCs w:val="21"/>
        </w:rPr>
        <w:t>10</w:t>
      </w:r>
      <w:r>
        <w:rPr>
          <w:rFonts w:ascii="Times New Roman"/>
          <w:color w:val="000000" w:themeColor="text1"/>
          <w:szCs w:val="21"/>
          <w14:textFill>
            <w14:solidFill>
              <w14:schemeClr w14:val="tx1"/>
            </w14:solidFill>
          </w14:textFill>
        </w:rPr>
        <w:t>次的测定结果不能落在均值同侧；加标回收率应满足检验方法要求。</w:t>
      </w:r>
    </w:p>
    <w:p w14:paraId="6D6DB06B">
      <w:pPr>
        <w:pStyle w:val="162"/>
        <w:rPr>
          <w:rFonts w:ascii="Times New Roman"/>
          <w:szCs w:val="21"/>
        </w:rPr>
      </w:pPr>
      <w:r>
        <w:rPr>
          <w:rFonts w:ascii="Times New Roman"/>
          <w:szCs w:val="21"/>
        </w:rPr>
        <w:t>方法空白应低于方法检出限。若不能满足要求，需确定方法空白来源，评估方法空白的稳定性。稳定性评估中，需进行不低于6批次的方法空白试验，根据方法空白中目标分析物的质谱响应值，计算相对标准偏差，若低于20%，表示方法空白稳定，可根据空白样品和实际尿液样品中目标分析物的含量水平评估扣除空白的可能性。</w:t>
      </w:r>
    </w:p>
    <w:p w14:paraId="74F35516">
      <w:pPr>
        <w:pStyle w:val="162"/>
        <w:rPr>
          <w:rFonts w:ascii="Times New Roman"/>
        </w:rPr>
      </w:pPr>
      <w:r>
        <w:rPr>
          <w:rFonts w:ascii="Times New Roman"/>
          <w:szCs w:val="21"/>
        </w:rPr>
        <w:t>平行样测定结果的相对偏差应小于20%。</w:t>
      </w:r>
    </w:p>
    <w:p w14:paraId="1CBE198D">
      <w:pPr>
        <w:pStyle w:val="162"/>
        <w:rPr>
          <w:rFonts w:ascii="Times New Roman"/>
          <w:color w:val="000000" w:themeColor="text1"/>
          <w14:textFill>
            <w14:solidFill>
              <w14:schemeClr w14:val="tx1"/>
            </w14:solidFill>
          </w14:textFill>
        </w:rPr>
      </w:pPr>
      <w:r>
        <w:rPr>
          <w:rFonts w:ascii="Times New Roman"/>
          <w:szCs w:val="21"/>
        </w:rPr>
        <w:t>每批试验应重新配制校准曲线，不得采用单点校正等方法代替校准曲线。校准曲线</w:t>
      </w:r>
      <w:r>
        <w:rPr>
          <w:rFonts w:ascii="Times New Roman"/>
          <w:color w:val="000000" w:themeColor="text1"/>
          <w:szCs w:val="21"/>
          <w14:textFill>
            <w14:solidFill>
              <w14:schemeClr w14:val="tx1"/>
            </w14:solidFill>
          </w14:textFill>
        </w:rPr>
        <w:t>应包括不少于5个平均分布的标准浓度点（不包含零点）。采用1/x权重拟合校准曲线，目标物相关系数＞0.995。用校准曲线反推各标准点浓度，定量限测量值应在校准点浓度的±30%以内，其余各浓度点应在±20%以内。</w:t>
      </w:r>
    </w:p>
    <w:bookmarkEnd w:id="116"/>
    <w:bookmarkEnd w:id="117"/>
    <w:p w14:paraId="12CF8CE2">
      <w:pPr>
        <w:pStyle w:val="104"/>
        <w:spacing w:before="240" w:after="240"/>
        <w:rPr>
          <w:rFonts w:ascii="Times New Roman"/>
        </w:rPr>
      </w:pPr>
      <w:bookmarkStart w:id="118" w:name="_Toc201759943"/>
      <w:bookmarkStart w:id="119" w:name="_Toc201759959"/>
      <w:r>
        <w:rPr>
          <w:rFonts w:ascii="Times New Roman"/>
        </w:rPr>
        <w:t>注意事项</w:t>
      </w:r>
      <w:bookmarkEnd w:id="118"/>
      <w:bookmarkEnd w:id="119"/>
    </w:p>
    <w:p w14:paraId="0076DDB6">
      <w:pPr>
        <w:pStyle w:val="162"/>
        <w:rPr>
          <w:rFonts w:ascii="Times New Roman"/>
        </w:rPr>
      </w:pPr>
      <w:bookmarkStart w:id="120" w:name="OLE_LINK8"/>
      <w:bookmarkStart w:id="121" w:name="OLE_LINK7"/>
      <w:r>
        <w:rPr>
          <w:rFonts w:ascii="Times New Roman"/>
        </w:rPr>
        <w:t>乙酸</w:t>
      </w:r>
      <w:r>
        <w:rPr>
          <w:rFonts w:hint="eastAsia" w:ascii="Times New Roman"/>
        </w:rPr>
        <w:t>胺</w:t>
      </w:r>
      <w:r>
        <w:rPr>
          <w:rFonts w:ascii="Times New Roman"/>
        </w:rPr>
        <w:t>溶液不宜一次性配制过多，建议根据实验需要现用现配。</w:t>
      </w:r>
    </w:p>
    <w:p w14:paraId="595AD358">
      <w:pPr>
        <w:pStyle w:val="162"/>
        <w:rPr>
          <w:rFonts w:ascii="Times New Roman"/>
          <w:szCs w:val="21"/>
        </w:rPr>
      </w:pPr>
      <w:r>
        <w:rPr>
          <w:rFonts w:ascii="Times New Roman"/>
        </w:rPr>
        <w:t>尿液样品经前处理过程所得到的样品溶液可能存在降解。如在完成样品前处理后不能立即测定，应将样品溶</w:t>
      </w:r>
      <w:r>
        <w:rPr>
          <w:rFonts w:ascii="Times New Roman"/>
          <w:color w:val="000000" w:themeColor="text1"/>
          <w14:textFill>
            <w14:solidFill>
              <w14:schemeClr w14:val="tx1"/>
            </w14:solidFill>
          </w14:textFill>
        </w:rPr>
        <w:t>液保存于-20</w:t>
      </w:r>
      <w:r>
        <w:rPr>
          <w:rFonts w:hint="eastAsia" w:hAnsi="宋体" w:cs="宋体"/>
          <w:color w:val="000000" w:themeColor="text1"/>
          <w14:textFill>
            <w14:solidFill>
              <w14:schemeClr w14:val="tx1"/>
            </w14:solidFill>
          </w14:textFill>
        </w:rPr>
        <w:t>℃</w:t>
      </w:r>
      <w:r>
        <w:rPr>
          <w:rFonts w:ascii="Times New Roman"/>
          <w:color w:val="000000" w:themeColor="text1"/>
          <w14:textFill>
            <w14:solidFill>
              <w14:schemeClr w14:val="tx1"/>
            </w14:solidFill>
          </w14:textFill>
        </w:rPr>
        <w:t>条件下，并在5日内完成</w:t>
      </w:r>
      <w:r>
        <w:rPr>
          <w:rFonts w:ascii="Times New Roman"/>
        </w:rPr>
        <w:t>测定。</w:t>
      </w:r>
    </w:p>
    <w:p w14:paraId="2DA3D1DE">
      <w:pPr>
        <w:pStyle w:val="162"/>
        <w:rPr>
          <w:rFonts w:ascii="Times New Roman"/>
          <w:szCs w:val="21"/>
        </w:rPr>
      </w:pPr>
      <w:r>
        <w:rPr>
          <w:rFonts w:ascii="Times New Roman"/>
          <w:szCs w:val="21"/>
        </w:rPr>
        <w:t>样品中目标分析物浓度超过线性范围时，需进行复测。复测时，应采用减少取样体积或稀释待测尿液样品的方式，不得直接稀释经过前处理的样品溶液。</w:t>
      </w:r>
    </w:p>
    <w:p w14:paraId="3B9C5954">
      <w:pPr>
        <w:pStyle w:val="162"/>
        <w:rPr>
          <w:rFonts w:ascii="Times New Roman"/>
          <w:szCs w:val="21"/>
        </w:rPr>
      </w:pPr>
      <w:r>
        <w:rPr>
          <w:rFonts w:ascii="Times New Roman"/>
        </w:rPr>
        <w:t>连续对两个样品进行测定时，当第一个样品浓度超过第二个样品50倍</w:t>
      </w:r>
      <w:r>
        <w:rPr>
          <w:rFonts w:ascii="Times New Roman"/>
          <w:color w:val="000000" w:themeColor="text1"/>
          <w14:textFill>
            <w14:solidFill>
              <w14:schemeClr w14:val="tx1"/>
            </w14:solidFill>
          </w14:textFill>
        </w:rPr>
        <w:t>且第二个样品测定值高于定量限时，需对第二个样品进行复测。</w:t>
      </w:r>
    </w:p>
    <w:p w14:paraId="71F59D0F">
      <w:pPr>
        <w:pStyle w:val="162"/>
        <w:rPr>
          <w:rFonts w:ascii="Times New Roman"/>
          <w:szCs w:val="21"/>
        </w:rPr>
      </w:pPr>
      <w:r>
        <w:rPr>
          <w:rFonts w:ascii="Times New Roman"/>
          <w:szCs w:val="21"/>
        </w:rPr>
        <w:t>样品中内标未检出时，需对该样品进行重复进样。当重复进样测定仍未检出内标时，可判断该样品基质效应影响较大，需进行复测。复测时，宜稀释待测尿液样品以降低基质效应。</w:t>
      </w:r>
    </w:p>
    <w:bookmarkEnd w:id="120"/>
    <w:bookmarkEnd w:id="121"/>
    <w:p w14:paraId="0C01667F">
      <w:pPr>
        <w:pStyle w:val="56"/>
        <w:ind w:firstLine="420"/>
        <w:rPr>
          <w:rFonts w:ascii="Times New Roman"/>
        </w:rPr>
      </w:pPr>
    </w:p>
    <w:p w14:paraId="49F6C079">
      <w:pPr>
        <w:pStyle w:val="56"/>
        <w:ind w:firstLine="420"/>
        <w:rPr>
          <w:rFonts w:ascii="Times New Roman"/>
        </w:rPr>
        <w:sectPr>
          <w:pgSz w:w="11906" w:h="16838"/>
          <w:pgMar w:top="1928" w:right="1134" w:bottom="1134" w:left="1134" w:header="1418" w:footer="1134" w:gutter="284"/>
          <w:pgNumType w:start="1"/>
          <w:cols w:space="425" w:num="1"/>
          <w:formProt w:val="0"/>
          <w:docGrid w:linePitch="312" w:charSpace="0"/>
        </w:sectPr>
      </w:pPr>
    </w:p>
    <w:bookmarkEnd w:id="28"/>
    <w:p w14:paraId="5F76DFEB">
      <w:pPr>
        <w:pStyle w:val="198"/>
        <w:rPr>
          <w:rFonts w:ascii="Times New Roman" w:hAnsi="Times New Roman"/>
          <w:vanish w:val="0"/>
        </w:rPr>
      </w:pPr>
      <w:bookmarkStart w:id="122" w:name="BookMark5"/>
    </w:p>
    <w:p w14:paraId="6802DF8B">
      <w:pPr>
        <w:pStyle w:val="199"/>
        <w:rPr>
          <w:rFonts w:ascii="Times New Roman"/>
          <w:vanish w:val="0"/>
        </w:rPr>
      </w:pPr>
    </w:p>
    <w:p w14:paraId="4799CAC5">
      <w:pPr>
        <w:pStyle w:val="76"/>
        <w:spacing w:after="120"/>
        <w:rPr>
          <w:rFonts w:ascii="Times New Roman"/>
        </w:rPr>
      </w:pPr>
      <w:r>
        <w:rPr>
          <w:rFonts w:ascii="Times New Roman"/>
        </w:rPr>
        <w:br w:type="textWrapping"/>
      </w:r>
      <w:bookmarkStart w:id="123" w:name="_Toc201759960"/>
      <w:bookmarkStart w:id="124" w:name="_Toc201759944"/>
      <w:r>
        <w:rPr>
          <w:rFonts w:ascii="Times New Roman"/>
        </w:rPr>
        <w:t>（资料性）</w:t>
      </w:r>
      <w:r>
        <w:rPr>
          <w:rFonts w:ascii="Times New Roman"/>
        </w:rPr>
        <w:br w:type="textWrapping"/>
      </w:r>
      <w:r>
        <w:rPr>
          <w:rFonts w:ascii="Times New Roman"/>
        </w:rPr>
        <w:t>19种抗生素的基本信息</w:t>
      </w:r>
      <w:bookmarkEnd w:id="123"/>
      <w:bookmarkEnd w:id="124"/>
    </w:p>
    <w:p w14:paraId="31F956BB">
      <w:pPr>
        <w:pStyle w:val="77"/>
        <w:spacing w:before="120" w:after="120"/>
        <w:rPr>
          <w:rFonts w:ascii="Times New Roman"/>
        </w:rPr>
      </w:pPr>
      <w:r>
        <w:rPr>
          <w:rFonts w:ascii="Times New Roman"/>
        </w:rPr>
        <w:t>中文名称、英文名称、CAS号、相对分子质量和结构式</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746"/>
        <w:gridCol w:w="1614"/>
        <w:gridCol w:w="2379"/>
        <w:gridCol w:w="1521"/>
        <w:gridCol w:w="1565"/>
        <w:gridCol w:w="1549"/>
      </w:tblGrid>
      <w:tr w14:paraId="3135EC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747" w:type="dxa"/>
            <w:tcBorders>
              <w:top w:val="single" w:color="auto" w:sz="8" w:space="0"/>
              <w:bottom w:val="single" w:color="auto" w:sz="8" w:space="0"/>
            </w:tcBorders>
            <w:shd w:val="clear" w:color="auto" w:fill="auto"/>
            <w:vAlign w:val="center"/>
          </w:tcPr>
          <w:p w14:paraId="22FEE237">
            <w:pPr>
              <w:pStyle w:val="178"/>
              <w:adjustRightInd w:val="0"/>
              <w:snapToGrid w:val="0"/>
              <w:rPr>
                <w:rFonts w:ascii="Times New Roman"/>
              </w:rPr>
            </w:pPr>
            <w:r>
              <w:rPr>
                <w:rFonts w:ascii="Times New Roman"/>
              </w:rPr>
              <w:t>序号</w:t>
            </w:r>
          </w:p>
        </w:tc>
        <w:tc>
          <w:tcPr>
            <w:tcW w:w="1617" w:type="dxa"/>
            <w:tcBorders>
              <w:top w:val="single" w:color="auto" w:sz="8" w:space="0"/>
              <w:bottom w:val="single" w:color="auto" w:sz="8" w:space="0"/>
            </w:tcBorders>
            <w:shd w:val="clear" w:color="auto" w:fill="auto"/>
            <w:vAlign w:val="center"/>
          </w:tcPr>
          <w:p w14:paraId="6D72FABF">
            <w:pPr>
              <w:pStyle w:val="178"/>
              <w:adjustRightInd w:val="0"/>
              <w:snapToGrid w:val="0"/>
              <w:rPr>
                <w:rFonts w:ascii="Times New Roman"/>
              </w:rPr>
            </w:pPr>
            <w:r>
              <w:rPr>
                <w:rFonts w:ascii="Times New Roman"/>
              </w:rPr>
              <w:t>中文名称</w:t>
            </w:r>
          </w:p>
        </w:tc>
        <w:tc>
          <w:tcPr>
            <w:tcW w:w="2381" w:type="dxa"/>
            <w:tcBorders>
              <w:top w:val="single" w:color="auto" w:sz="8" w:space="0"/>
              <w:bottom w:val="single" w:color="auto" w:sz="8" w:space="0"/>
            </w:tcBorders>
            <w:shd w:val="clear" w:color="auto" w:fill="auto"/>
            <w:vAlign w:val="center"/>
          </w:tcPr>
          <w:p w14:paraId="348DD81F">
            <w:pPr>
              <w:pStyle w:val="178"/>
              <w:adjustRightInd w:val="0"/>
              <w:snapToGrid w:val="0"/>
              <w:rPr>
                <w:rFonts w:ascii="Times New Roman"/>
              </w:rPr>
            </w:pPr>
            <w:r>
              <w:rPr>
                <w:rFonts w:ascii="Times New Roman"/>
              </w:rPr>
              <w:t>英文名称</w:t>
            </w:r>
          </w:p>
        </w:tc>
        <w:tc>
          <w:tcPr>
            <w:tcW w:w="1523" w:type="dxa"/>
            <w:tcBorders>
              <w:top w:val="single" w:color="auto" w:sz="8" w:space="0"/>
              <w:bottom w:val="single" w:color="auto" w:sz="8" w:space="0"/>
            </w:tcBorders>
            <w:shd w:val="clear" w:color="auto" w:fill="auto"/>
            <w:vAlign w:val="center"/>
          </w:tcPr>
          <w:p w14:paraId="6515009A">
            <w:pPr>
              <w:pStyle w:val="178"/>
              <w:adjustRightInd w:val="0"/>
              <w:snapToGrid w:val="0"/>
              <w:rPr>
                <w:rFonts w:ascii="Times New Roman"/>
              </w:rPr>
            </w:pPr>
            <w:r>
              <w:rPr>
                <w:rFonts w:ascii="Times New Roman"/>
              </w:rPr>
              <w:t>CAS号</w:t>
            </w:r>
          </w:p>
        </w:tc>
        <w:tc>
          <w:tcPr>
            <w:tcW w:w="1568" w:type="dxa"/>
            <w:tcBorders>
              <w:top w:val="single" w:color="auto" w:sz="8" w:space="0"/>
              <w:bottom w:val="single" w:color="auto" w:sz="8" w:space="0"/>
            </w:tcBorders>
            <w:vAlign w:val="center"/>
          </w:tcPr>
          <w:p w14:paraId="13EFD041">
            <w:pPr>
              <w:pStyle w:val="178"/>
              <w:adjustRightInd w:val="0"/>
              <w:snapToGrid w:val="0"/>
              <w:rPr>
                <w:rFonts w:ascii="Times New Roman"/>
              </w:rPr>
            </w:pPr>
            <w:r>
              <w:rPr>
                <w:rFonts w:ascii="Times New Roman"/>
              </w:rPr>
              <w:t>相对分子质量</w:t>
            </w:r>
          </w:p>
        </w:tc>
        <w:tc>
          <w:tcPr>
            <w:tcW w:w="1538" w:type="dxa"/>
            <w:tcBorders>
              <w:top w:val="single" w:color="auto" w:sz="8" w:space="0"/>
              <w:bottom w:val="single" w:color="auto" w:sz="8" w:space="0"/>
            </w:tcBorders>
          </w:tcPr>
          <w:p w14:paraId="48BCB2E9">
            <w:pPr>
              <w:pStyle w:val="178"/>
              <w:adjustRightInd w:val="0"/>
              <w:snapToGrid w:val="0"/>
              <w:rPr>
                <w:rFonts w:ascii="Times New Roman"/>
              </w:rPr>
            </w:pPr>
            <w:r>
              <w:rPr>
                <w:rFonts w:ascii="Times New Roman"/>
              </w:rPr>
              <w:t>结构式</w:t>
            </w:r>
          </w:p>
        </w:tc>
      </w:tr>
      <w:tr w14:paraId="419C6F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47" w:type="dxa"/>
            <w:tcBorders>
              <w:top w:val="single" w:color="auto" w:sz="8" w:space="0"/>
            </w:tcBorders>
            <w:shd w:val="clear" w:color="auto" w:fill="auto"/>
            <w:vAlign w:val="center"/>
          </w:tcPr>
          <w:p w14:paraId="265784B9">
            <w:pPr>
              <w:pStyle w:val="178"/>
              <w:rPr>
                <w:rFonts w:ascii="Times New Roman"/>
              </w:rPr>
            </w:pPr>
            <w:r>
              <w:rPr>
                <w:rFonts w:ascii="Times New Roman"/>
              </w:rPr>
              <w:t>1</w:t>
            </w:r>
          </w:p>
        </w:tc>
        <w:tc>
          <w:tcPr>
            <w:tcW w:w="1617" w:type="dxa"/>
            <w:tcBorders>
              <w:top w:val="single" w:color="auto" w:sz="8" w:space="0"/>
            </w:tcBorders>
            <w:shd w:val="clear" w:color="auto" w:fill="auto"/>
            <w:vAlign w:val="center"/>
          </w:tcPr>
          <w:p w14:paraId="69217259">
            <w:pPr>
              <w:pStyle w:val="178"/>
              <w:rPr>
                <w:rFonts w:ascii="Times New Roman"/>
              </w:rPr>
            </w:pPr>
            <w:r>
              <w:rPr>
                <w:rFonts w:ascii="Times New Roman"/>
              </w:rPr>
              <w:t>阿奇霉素</w:t>
            </w:r>
          </w:p>
        </w:tc>
        <w:tc>
          <w:tcPr>
            <w:tcW w:w="2381" w:type="dxa"/>
            <w:tcBorders>
              <w:top w:val="single" w:color="auto" w:sz="8" w:space="0"/>
            </w:tcBorders>
            <w:shd w:val="clear" w:color="auto" w:fill="auto"/>
            <w:vAlign w:val="center"/>
          </w:tcPr>
          <w:p w14:paraId="7C4F2AD9">
            <w:pPr>
              <w:pStyle w:val="178"/>
              <w:rPr>
                <w:rFonts w:ascii="Times New Roman"/>
              </w:rPr>
            </w:pPr>
            <w:r>
              <w:rPr>
                <w:rFonts w:ascii="Times New Roman"/>
              </w:rPr>
              <w:t>azithromycin</w:t>
            </w:r>
          </w:p>
        </w:tc>
        <w:tc>
          <w:tcPr>
            <w:tcW w:w="1523" w:type="dxa"/>
            <w:tcBorders>
              <w:top w:val="single" w:color="auto" w:sz="8" w:space="0"/>
            </w:tcBorders>
            <w:shd w:val="clear" w:color="auto" w:fill="auto"/>
            <w:vAlign w:val="center"/>
          </w:tcPr>
          <w:p w14:paraId="7AAC4A9D">
            <w:pPr>
              <w:pStyle w:val="178"/>
              <w:rPr>
                <w:rFonts w:ascii="Times New Roman"/>
              </w:rPr>
            </w:pPr>
            <w:r>
              <w:rPr>
                <w:rFonts w:ascii="Times New Roman"/>
              </w:rPr>
              <w:t>83905-01-5</w:t>
            </w:r>
          </w:p>
        </w:tc>
        <w:tc>
          <w:tcPr>
            <w:tcW w:w="1568" w:type="dxa"/>
            <w:tcBorders>
              <w:top w:val="single" w:color="auto" w:sz="8" w:space="0"/>
            </w:tcBorders>
            <w:vAlign w:val="center"/>
          </w:tcPr>
          <w:p w14:paraId="43160AF6">
            <w:pPr>
              <w:pStyle w:val="178"/>
              <w:rPr>
                <w:rFonts w:ascii="Times New Roman"/>
              </w:rPr>
            </w:pPr>
            <w:r>
              <w:rPr>
                <w:rFonts w:ascii="Times New Roman"/>
              </w:rPr>
              <w:t>748.98</w:t>
            </w:r>
          </w:p>
        </w:tc>
        <w:tc>
          <w:tcPr>
            <w:tcW w:w="1538" w:type="dxa"/>
            <w:tcBorders>
              <w:top w:val="single" w:color="auto" w:sz="8" w:space="0"/>
            </w:tcBorders>
          </w:tcPr>
          <w:p w14:paraId="5BC0E11A">
            <w:pPr>
              <w:pStyle w:val="178"/>
              <w:rPr>
                <w:rFonts w:ascii="Times New Roman"/>
              </w:rPr>
            </w:pPr>
            <w:r>
              <w:rPr>
                <w:rFonts w:ascii="Times New Roman"/>
              </w:rPr>
              <w:drawing>
                <wp:inline distT="0" distB="0" distL="0" distR="0">
                  <wp:extent cx="762000" cy="752475"/>
                  <wp:effectExtent l="0" t="0" r="0" b="9525"/>
                  <wp:docPr id="3" name="图片 3" descr="https://www.sigmaaldrich.cn/deepweb/assets/sigmaaldrich/product/structures/336/604/3257573a-ff53-48be-87f9-55cc5bf7228c/800/3257573a-ff53-48be-87f9-55cc5bf7228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ttps://www.sigmaaldrich.cn/deepweb/assets/sigmaaldrich/product/structures/336/604/3257573a-ff53-48be-87f9-55cc5bf7228c/800/3257573a-ff53-48be-87f9-55cc5bf7228c.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765696" cy="756569"/>
                          </a:xfrm>
                          <a:prstGeom prst="rect">
                            <a:avLst/>
                          </a:prstGeom>
                          <a:noFill/>
                          <a:ln>
                            <a:noFill/>
                          </a:ln>
                        </pic:spPr>
                      </pic:pic>
                    </a:graphicData>
                  </a:graphic>
                </wp:inline>
              </w:drawing>
            </w:r>
          </w:p>
        </w:tc>
      </w:tr>
      <w:tr w14:paraId="32FA344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47" w:type="dxa"/>
            <w:shd w:val="clear" w:color="auto" w:fill="auto"/>
            <w:vAlign w:val="center"/>
          </w:tcPr>
          <w:p w14:paraId="6B1B7D15">
            <w:pPr>
              <w:pStyle w:val="178"/>
              <w:rPr>
                <w:rFonts w:ascii="Times New Roman"/>
              </w:rPr>
            </w:pPr>
            <w:r>
              <w:rPr>
                <w:rFonts w:ascii="Times New Roman"/>
              </w:rPr>
              <w:t>2</w:t>
            </w:r>
          </w:p>
        </w:tc>
        <w:tc>
          <w:tcPr>
            <w:tcW w:w="1617" w:type="dxa"/>
            <w:shd w:val="clear" w:color="auto" w:fill="auto"/>
            <w:vAlign w:val="center"/>
          </w:tcPr>
          <w:p w14:paraId="5B3E9B49">
            <w:pPr>
              <w:pStyle w:val="178"/>
              <w:rPr>
                <w:rFonts w:ascii="Times New Roman"/>
              </w:rPr>
            </w:pPr>
            <w:r>
              <w:rPr>
                <w:rFonts w:ascii="Times New Roman"/>
              </w:rPr>
              <w:t>克拉霉素</w:t>
            </w:r>
          </w:p>
        </w:tc>
        <w:tc>
          <w:tcPr>
            <w:tcW w:w="2381" w:type="dxa"/>
            <w:shd w:val="clear" w:color="auto" w:fill="auto"/>
            <w:vAlign w:val="center"/>
          </w:tcPr>
          <w:p w14:paraId="2DFE3D73">
            <w:pPr>
              <w:pStyle w:val="178"/>
              <w:rPr>
                <w:rFonts w:ascii="Times New Roman"/>
              </w:rPr>
            </w:pPr>
            <w:r>
              <w:rPr>
                <w:rFonts w:ascii="Times New Roman"/>
              </w:rPr>
              <w:t>clarithromycin</w:t>
            </w:r>
          </w:p>
        </w:tc>
        <w:tc>
          <w:tcPr>
            <w:tcW w:w="1523" w:type="dxa"/>
            <w:shd w:val="clear" w:color="auto" w:fill="auto"/>
            <w:vAlign w:val="center"/>
          </w:tcPr>
          <w:p w14:paraId="38156556">
            <w:pPr>
              <w:pStyle w:val="178"/>
              <w:rPr>
                <w:rFonts w:ascii="Times New Roman"/>
              </w:rPr>
            </w:pPr>
            <w:r>
              <w:rPr>
                <w:rFonts w:ascii="Times New Roman"/>
              </w:rPr>
              <w:t>81103-11-9</w:t>
            </w:r>
          </w:p>
        </w:tc>
        <w:tc>
          <w:tcPr>
            <w:tcW w:w="1568" w:type="dxa"/>
            <w:vAlign w:val="center"/>
          </w:tcPr>
          <w:p w14:paraId="1BF8881B">
            <w:pPr>
              <w:pStyle w:val="178"/>
              <w:rPr>
                <w:rFonts w:ascii="Times New Roman"/>
              </w:rPr>
            </w:pPr>
            <w:r>
              <w:rPr>
                <w:rFonts w:ascii="Times New Roman"/>
              </w:rPr>
              <w:t>747.95</w:t>
            </w:r>
          </w:p>
        </w:tc>
        <w:tc>
          <w:tcPr>
            <w:tcW w:w="1538" w:type="dxa"/>
          </w:tcPr>
          <w:p w14:paraId="1A12FA5B">
            <w:pPr>
              <w:pStyle w:val="178"/>
              <w:rPr>
                <w:rFonts w:ascii="Times New Roman"/>
              </w:rPr>
            </w:pPr>
            <w:r>
              <w:rPr>
                <w:rFonts w:ascii="Times New Roman"/>
              </w:rPr>
              <w:drawing>
                <wp:inline distT="0" distB="0" distL="0" distR="0">
                  <wp:extent cx="717550" cy="548640"/>
                  <wp:effectExtent l="0" t="0" r="6350" b="3810"/>
                  <wp:docPr id="4" name="图片 4" descr="https://www.sigmaaldrich.cn/deepweb/assets/sigmaaldrich/product/structures/197/238/42f3a87e-116a-4559-a799-b13fb6c2d07a/800/42f3a87e-116a-4559-a799-b13fb6c2d07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ttps://www.sigmaaldrich.cn/deepweb/assets/sigmaaldrich/product/structures/197/238/42f3a87e-116a-4559-a799-b13fb6c2d07a/800/42f3a87e-116a-4559-a799-b13fb6c2d07a.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719942" cy="551028"/>
                          </a:xfrm>
                          <a:prstGeom prst="rect">
                            <a:avLst/>
                          </a:prstGeom>
                          <a:noFill/>
                          <a:ln>
                            <a:noFill/>
                          </a:ln>
                        </pic:spPr>
                      </pic:pic>
                    </a:graphicData>
                  </a:graphic>
                </wp:inline>
              </w:drawing>
            </w:r>
          </w:p>
        </w:tc>
      </w:tr>
      <w:tr w14:paraId="0D05C3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47" w:type="dxa"/>
            <w:shd w:val="clear" w:color="auto" w:fill="auto"/>
            <w:vAlign w:val="center"/>
          </w:tcPr>
          <w:p w14:paraId="4BB70708">
            <w:pPr>
              <w:pStyle w:val="178"/>
              <w:rPr>
                <w:rFonts w:ascii="Times New Roman"/>
              </w:rPr>
            </w:pPr>
            <w:r>
              <w:rPr>
                <w:rFonts w:ascii="Times New Roman"/>
              </w:rPr>
              <w:t>3</w:t>
            </w:r>
          </w:p>
        </w:tc>
        <w:tc>
          <w:tcPr>
            <w:tcW w:w="1617" w:type="dxa"/>
            <w:shd w:val="clear" w:color="auto" w:fill="auto"/>
            <w:vAlign w:val="center"/>
          </w:tcPr>
          <w:p w14:paraId="337C1F7A">
            <w:pPr>
              <w:pStyle w:val="178"/>
              <w:rPr>
                <w:rFonts w:ascii="Times New Roman"/>
              </w:rPr>
            </w:pPr>
            <w:r>
              <w:rPr>
                <w:rFonts w:ascii="Times New Roman"/>
              </w:rPr>
              <w:t>罗红霉素</w:t>
            </w:r>
          </w:p>
        </w:tc>
        <w:tc>
          <w:tcPr>
            <w:tcW w:w="2381" w:type="dxa"/>
            <w:shd w:val="clear" w:color="auto" w:fill="auto"/>
            <w:vAlign w:val="center"/>
          </w:tcPr>
          <w:p w14:paraId="5141511F">
            <w:pPr>
              <w:pStyle w:val="178"/>
              <w:rPr>
                <w:rFonts w:ascii="Times New Roman"/>
              </w:rPr>
            </w:pPr>
            <w:r>
              <w:rPr>
                <w:rFonts w:ascii="Times New Roman"/>
              </w:rPr>
              <w:t>roxithromycin</w:t>
            </w:r>
          </w:p>
        </w:tc>
        <w:tc>
          <w:tcPr>
            <w:tcW w:w="1523" w:type="dxa"/>
            <w:shd w:val="clear" w:color="auto" w:fill="auto"/>
            <w:vAlign w:val="center"/>
          </w:tcPr>
          <w:p w14:paraId="04F561B7">
            <w:pPr>
              <w:pStyle w:val="178"/>
              <w:rPr>
                <w:rFonts w:ascii="Times New Roman"/>
              </w:rPr>
            </w:pPr>
            <w:r>
              <w:rPr>
                <w:rFonts w:ascii="Times New Roman"/>
              </w:rPr>
              <w:t>80214-83-1</w:t>
            </w:r>
          </w:p>
        </w:tc>
        <w:tc>
          <w:tcPr>
            <w:tcW w:w="1568" w:type="dxa"/>
            <w:vAlign w:val="center"/>
          </w:tcPr>
          <w:p w14:paraId="422AC21D">
            <w:pPr>
              <w:pStyle w:val="178"/>
              <w:rPr>
                <w:rFonts w:ascii="Times New Roman"/>
              </w:rPr>
            </w:pPr>
            <w:r>
              <w:rPr>
                <w:rFonts w:ascii="Times New Roman"/>
              </w:rPr>
              <w:t>837.05</w:t>
            </w:r>
          </w:p>
        </w:tc>
        <w:tc>
          <w:tcPr>
            <w:tcW w:w="1538" w:type="dxa"/>
          </w:tcPr>
          <w:p w14:paraId="4788A7DD">
            <w:pPr>
              <w:pStyle w:val="178"/>
              <w:rPr>
                <w:rFonts w:ascii="Times New Roman"/>
              </w:rPr>
            </w:pPr>
            <w:r>
              <w:rPr>
                <w:rFonts w:ascii="Times New Roman"/>
              </w:rPr>
              <w:drawing>
                <wp:inline distT="0" distB="0" distL="0" distR="0">
                  <wp:extent cx="688975" cy="575945"/>
                  <wp:effectExtent l="0" t="0" r="0" b="0"/>
                  <wp:docPr id="6" name="图片 6" descr="https://bkimg.cdn.bcebos.com/pic/eaf81a4c510fd9f9d72a4a262e67c32a2834349b0e60?x-bce-process=image/format,f_auto/watermark,image_d2F0ZXIvYmFpa2UyNzI,g_7,xp_5,yp_5,P_20/resize,m_lfit,limit_1,h_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https://bkimg.cdn.bcebos.com/pic/eaf81a4c510fd9f9d72a4a262e67c32a2834349b0e60?x-bce-process=image/format,f_auto/watermark,image_d2F0ZXIvYmFpa2UyNzI,g_7,xp_5,yp_5,P_20/resize,m_lfit,limit_1,h_108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690696" cy="577661"/>
                          </a:xfrm>
                          <a:prstGeom prst="rect">
                            <a:avLst/>
                          </a:prstGeom>
                          <a:noFill/>
                          <a:ln>
                            <a:noFill/>
                          </a:ln>
                        </pic:spPr>
                      </pic:pic>
                    </a:graphicData>
                  </a:graphic>
                </wp:inline>
              </w:drawing>
            </w:r>
          </w:p>
        </w:tc>
      </w:tr>
      <w:tr w14:paraId="05ADF9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92" w:hRule="atLeast"/>
          <w:jc w:val="center"/>
        </w:trPr>
        <w:tc>
          <w:tcPr>
            <w:tcW w:w="747" w:type="dxa"/>
            <w:shd w:val="clear" w:color="auto" w:fill="auto"/>
            <w:vAlign w:val="center"/>
          </w:tcPr>
          <w:p w14:paraId="7090B26E">
            <w:pPr>
              <w:pStyle w:val="178"/>
              <w:rPr>
                <w:rFonts w:ascii="Times New Roman"/>
              </w:rPr>
            </w:pPr>
            <w:r>
              <w:rPr>
                <w:rFonts w:ascii="Times New Roman"/>
              </w:rPr>
              <w:t>4</w:t>
            </w:r>
          </w:p>
        </w:tc>
        <w:tc>
          <w:tcPr>
            <w:tcW w:w="1617" w:type="dxa"/>
            <w:shd w:val="clear" w:color="auto" w:fill="auto"/>
            <w:vAlign w:val="center"/>
          </w:tcPr>
          <w:p w14:paraId="5B0A7FE6">
            <w:pPr>
              <w:pStyle w:val="178"/>
              <w:rPr>
                <w:rFonts w:ascii="Times New Roman"/>
              </w:rPr>
            </w:pPr>
            <w:r>
              <w:rPr>
                <w:rFonts w:ascii="Times New Roman"/>
              </w:rPr>
              <w:t>四环素</w:t>
            </w:r>
          </w:p>
        </w:tc>
        <w:tc>
          <w:tcPr>
            <w:tcW w:w="2381" w:type="dxa"/>
            <w:shd w:val="clear" w:color="auto" w:fill="auto"/>
            <w:vAlign w:val="center"/>
          </w:tcPr>
          <w:p w14:paraId="127F41EB">
            <w:pPr>
              <w:pStyle w:val="178"/>
              <w:rPr>
                <w:rFonts w:ascii="Times New Roman"/>
              </w:rPr>
            </w:pPr>
            <w:r>
              <w:rPr>
                <w:rFonts w:ascii="Times New Roman"/>
              </w:rPr>
              <w:t xml:space="preserve">Tetracycline </w:t>
            </w:r>
          </w:p>
        </w:tc>
        <w:tc>
          <w:tcPr>
            <w:tcW w:w="1523" w:type="dxa"/>
            <w:shd w:val="clear" w:color="auto" w:fill="auto"/>
            <w:vAlign w:val="center"/>
          </w:tcPr>
          <w:p w14:paraId="03926A14">
            <w:pPr>
              <w:pStyle w:val="178"/>
              <w:rPr>
                <w:rFonts w:ascii="Times New Roman"/>
              </w:rPr>
            </w:pPr>
            <w:r>
              <w:rPr>
                <w:rFonts w:ascii="Times New Roman"/>
              </w:rPr>
              <w:t>60-54-8</w:t>
            </w:r>
          </w:p>
        </w:tc>
        <w:tc>
          <w:tcPr>
            <w:tcW w:w="1568" w:type="dxa"/>
            <w:vAlign w:val="center"/>
          </w:tcPr>
          <w:p w14:paraId="2B37093B">
            <w:pPr>
              <w:pStyle w:val="178"/>
              <w:rPr>
                <w:rFonts w:ascii="Times New Roman"/>
              </w:rPr>
            </w:pPr>
            <w:r>
              <w:rPr>
                <w:rFonts w:ascii="Times New Roman"/>
              </w:rPr>
              <w:t>444.43</w:t>
            </w:r>
          </w:p>
        </w:tc>
        <w:tc>
          <w:tcPr>
            <w:tcW w:w="1538" w:type="dxa"/>
          </w:tcPr>
          <w:p w14:paraId="38E76080">
            <w:pPr>
              <w:pStyle w:val="178"/>
              <w:rPr>
                <w:rFonts w:ascii="Times New Roman"/>
              </w:rPr>
            </w:pPr>
            <w:r>
              <w:rPr>
                <w:rFonts w:ascii="Times New Roman"/>
              </w:rPr>
              <w:drawing>
                <wp:inline distT="0" distB="0" distL="0" distR="0">
                  <wp:extent cx="875665" cy="453390"/>
                  <wp:effectExtent l="0" t="0" r="635" b="3810"/>
                  <wp:docPr id="7" name="图片 7" descr="https://www.sigmaaldrich.cn/deepweb/assets/sigmaaldrich/product/structures/231/055/989bd80f-f51a-49a0-b547-b7b54f5a51ca/800/989bd80f-f51a-49a0-b547-b7b54f5a51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ttps://www.sigmaaldrich.cn/deepweb/assets/sigmaaldrich/product/structures/231/055/989bd80f-f51a-49a0-b547-b7b54f5a51ca/800/989bd80f-f51a-49a0-b547-b7b54f5a51ca.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882127" cy="456504"/>
                          </a:xfrm>
                          <a:prstGeom prst="rect">
                            <a:avLst/>
                          </a:prstGeom>
                          <a:noFill/>
                          <a:ln>
                            <a:noFill/>
                          </a:ln>
                        </pic:spPr>
                      </pic:pic>
                    </a:graphicData>
                  </a:graphic>
                </wp:inline>
              </w:drawing>
            </w:r>
          </w:p>
        </w:tc>
      </w:tr>
      <w:tr w14:paraId="1AEDB3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47" w:type="dxa"/>
            <w:shd w:val="clear" w:color="auto" w:fill="auto"/>
            <w:vAlign w:val="center"/>
          </w:tcPr>
          <w:p w14:paraId="483A70C5">
            <w:pPr>
              <w:pStyle w:val="178"/>
              <w:rPr>
                <w:rFonts w:ascii="Times New Roman"/>
              </w:rPr>
            </w:pPr>
            <w:r>
              <w:rPr>
                <w:rFonts w:ascii="Times New Roman"/>
              </w:rPr>
              <w:t>5</w:t>
            </w:r>
          </w:p>
        </w:tc>
        <w:tc>
          <w:tcPr>
            <w:tcW w:w="1617" w:type="dxa"/>
            <w:shd w:val="clear" w:color="auto" w:fill="auto"/>
            <w:vAlign w:val="center"/>
          </w:tcPr>
          <w:p w14:paraId="26734C75">
            <w:pPr>
              <w:pStyle w:val="178"/>
              <w:rPr>
                <w:rFonts w:ascii="Times New Roman"/>
              </w:rPr>
            </w:pPr>
            <w:r>
              <w:rPr>
                <w:rFonts w:ascii="Times New Roman"/>
              </w:rPr>
              <w:t>强力霉素</w:t>
            </w:r>
          </w:p>
        </w:tc>
        <w:tc>
          <w:tcPr>
            <w:tcW w:w="2381" w:type="dxa"/>
            <w:shd w:val="clear" w:color="auto" w:fill="auto"/>
            <w:vAlign w:val="center"/>
          </w:tcPr>
          <w:p w14:paraId="0C65BF88">
            <w:pPr>
              <w:pStyle w:val="178"/>
              <w:rPr>
                <w:rFonts w:ascii="Times New Roman"/>
              </w:rPr>
            </w:pPr>
            <w:r>
              <w:rPr>
                <w:rFonts w:ascii="Times New Roman"/>
              </w:rPr>
              <w:t>doxycycline</w:t>
            </w:r>
          </w:p>
        </w:tc>
        <w:tc>
          <w:tcPr>
            <w:tcW w:w="1523" w:type="dxa"/>
            <w:shd w:val="clear" w:color="auto" w:fill="auto"/>
            <w:vAlign w:val="center"/>
          </w:tcPr>
          <w:p w14:paraId="38221708">
            <w:pPr>
              <w:pStyle w:val="178"/>
              <w:rPr>
                <w:rFonts w:ascii="Times New Roman"/>
              </w:rPr>
            </w:pPr>
            <w:r>
              <w:rPr>
                <w:rFonts w:ascii="Times New Roman"/>
              </w:rPr>
              <w:t>10592-13-9</w:t>
            </w:r>
          </w:p>
        </w:tc>
        <w:tc>
          <w:tcPr>
            <w:tcW w:w="1568" w:type="dxa"/>
            <w:vAlign w:val="center"/>
          </w:tcPr>
          <w:p w14:paraId="4B21DE8F">
            <w:pPr>
              <w:pStyle w:val="178"/>
              <w:rPr>
                <w:rFonts w:ascii="Times New Roman"/>
              </w:rPr>
            </w:pPr>
            <w:r>
              <w:rPr>
                <w:rFonts w:ascii="Times New Roman"/>
              </w:rPr>
              <w:t>480.90</w:t>
            </w:r>
          </w:p>
        </w:tc>
        <w:tc>
          <w:tcPr>
            <w:tcW w:w="1538" w:type="dxa"/>
          </w:tcPr>
          <w:p w14:paraId="19E912BA">
            <w:pPr>
              <w:pStyle w:val="178"/>
              <w:rPr>
                <w:rFonts w:ascii="Times New Roman"/>
              </w:rPr>
            </w:pPr>
            <w:r>
              <w:rPr>
                <w:rFonts w:ascii="Times New Roman"/>
              </w:rPr>
              <w:drawing>
                <wp:inline distT="0" distB="0" distL="0" distR="0">
                  <wp:extent cx="817880" cy="408305"/>
                  <wp:effectExtent l="0" t="0" r="1270" b="0"/>
                  <wp:docPr id="9" name="图片 9" descr="https://www.sigmaaldrich.cn/deepweb/assets/sigmaaldrich/product/structures/235/422/cdd170cb-025a-48f9-a8b6-ec14d4bb46a9/800/cdd170cb-025a-48f9-a8b6-ec14d4bb46a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https://www.sigmaaldrich.cn/deepweb/assets/sigmaaldrich/product/structures/235/422/cdd170cb-025a-48f9-a8b6-ec14d4bb46a9/800/cdd170cb-025a-48f9-a8b6-ec14d4bb46a9.png"/>
                          <pic:cNvPicPr>
                            <a:picLocks noChangeAspect="1" noChangeArrowheads="1"/>
                          </pic:cNvPicPr>
                        </pic:nvPicPr>
                        <pic:blipFill>
                          <a:blip r:embed="rId21" cstate="print">
                            <a:extLst>
                              <a:ext uri="{28A0092B-C50C-407E-A947-70E740481C1C}">
                                <a14:useLocalDpi xmlns:a14="http://schemas.microsoft.com/office/drawing/2010/main" val="0"/>
                              </a:ext>
                            </a:extLst>
                          </a:blip>
                          <a:srcRect r="19965"/>
                          <a:stretch>
                            <a:fillRect/>
                          </a:stretch>
                        </pic:blipFill>
                        <pic:spPr>
                          <a:xfrm>
                            <a:off x="0" y="0"/>
                            <a:ext cx="820294" cy="409866"/>
                          </a:xfrm>
                          <a:prstGeom prst="rect">
                            <a:avLst/>
                          </a:prstGeom>
                          <a:noFill/>
                          <a:ln>
                            <a:noFill/>
                          </a:ln>
                        </pic:spPr>
                      </pic:pic>
                    </a:graphicData>
                  </a:graphic>
                </wp:inline>
              </w:drawing>
            </w:r>
          </w:p>
        </w:tc>
      </w:tr>
      <w:tr w14:paraId="7F8129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47" w:type="dxa"/>
            <w:shd w:val="clear" w:color="auto" w:fill="auto"/>
            <w:vAlign w:val="center"/>
          </w:tcPr>
          <w:p w14:paraId="5A2FAA3D">
            <w:pPr>
              <w:pStyle w:val="178"/>
              <w:rPr>
                <w:rFonts w:ascii="Times New Roman"/>
              </w:rPr>
            </w:pPr>
            <w:r>
              <w:rPr>
                <w:rFonts w:ascii="Times New Roman"/>
              </w:rPr>
              <w:t>6</w:t>
            </w:r>
          </w:p>
        </w:tc>
        <w:tc>
          <w:tcPr>
            <w:tcW w:w="1617" w:type="dxa"/>
            <w:shd w:val="clear" w:color="auto" w:fill="auto"/>
            <w:vAlign w:val="center"/>
          </w:tcPr>
          <w:p w14:paraId="51036902">
            <w:pPr>
              <w:pStyle w:val="178"/>
              <w:rPr>
                <w:rFonts w:ascii="Times New Roman"/>
              </w:rPr>
            </w:pPr>
            <w:r>
              <w:rPr>
                <w:rFonts w:ascii="Times New Roman"/>
              </w:rPr>
              <w:t>土霉素</w:t>
            </w:r>
          </w:p>
        </w:tc>
        <w:tc>
          <w:tcPr>
            <w:tcW w:w="2381" w:type="dxa"/>
            <w:shd w:val="clear" w:color="auto" w:fill="auto"/>
            <w:vAlign w:val="center"/>
          </w:tcPr>
          <w:p w14:paraId="20224963">
            <w:pPr>
              <w:pStyle w:val="178"/>
              <w:rPr>
                <w:rFonts w:ascii="Times New Roman"/>
              </w:rPr>
            </w:pPr>
            <w:r>
              <w:rPr>
                <w:rFonts w:ascii="Times New Roman"/>
              </w:rPr>
              <w:t>oxytetracycline</w:t>
            </w:r>
          </w:p>
        </w:tc>
        <w:tc>
          <w:tcPr>
            <w:tcW w:w="1523" w:type="dxa"/>
            <w:shd w:val="clear" w:color="auto" w:fill="auto"/>
            <w:vAlign w:val="center"/>
          </w:tcPr>
          <w:p w14:paraId="36201BC1">
            <w:pPr>
              <w:pStyle w:val="178"/>
              <w:rPr>
                <w:rFonts w:ascii="Times New Roman"/>
              </w:rPr>
            </w:pPr>
            <w:r>
              <w:rPr>
                <w:rFonts w:ascii="Times New Roman"/>
              </w:rPr>
              <w:t>79-57-2</w:t>
            </w:r>
          </w:p>
        </w:tc>
        <w:tc>
          <w:tcPr>
            <w:tcW w:w="1568" w:type="dxa"/>
            <w:vAlign w:val="center"/>
          </w:tcPr>
          <w:p w14:paraId="20787EAE">
            <w:pPr>
              <w:pStyle w:val="178"/>
              <w:rPr>
                <w:rFonts w:ascii="Times New Roman"/>
              </w:rPr>
            </w:pPr>
            <w:r>
              <w:rPr>
                <w:rFonts w:ascii="Times New Roman"/>
              </w:rPr>
              <w:t>460.44</w:t>
            </w:r>
          </w:p>
        </w:tc>
        <w:tc>
          <w:tcPr>
            <w:tcW w:w="1538" w:type="dxa"/>
          </w:tcPr>
          <w:p w14:paraId="681D8A3C">
            <w:pPr>
              <w:pStyle w:val="178"/>
              <w:rPr>
                <w:rFonts w:ascii="Times New Roman"/>
              </w:rPr>
            </w:pPr>
            <w:r>
              <w:rPr>
                <w:rFonts w:ascii="Times New Roman"/>
              </w:rPr>
              <w:drawing>
                <wp:inline distT="0" distB="0" distL="0" distR="0">
                  <wp:extent cx="793115" cy="546735"/>
                  <wp:effectExtent l="0" t="0" r="6985" b="5715"/>
                  <wp:docPr id="10" name="图片 10" descr="https://wscpimg.sial.com/0/6/28757806_w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https://wscpimg.sial.com/0/6/28757806_w290.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801891" cy="552418"/>
                          </a:xfrm>
                          <a:prstGeom prst="rect">
                            <a:avLst/>
                          </a:prstGeom>
                          <a:noFill/>
                          <a:ln>
                            <a:noFill/>
                          </a:ln>
                        </pic:spPr>
                      </pic:pic>
                    </a:graphicData>
                  </a:graphic>
                </wp:inline>
              </w:drawing>
            </w:r>
          </w:p>
        </w:tc>
      </w:tr>
      <w:tr w14:paraId="248D47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47" w:type="dxa"/>
            <w:shd w:val="clear" w:color="auto" w:fill="auto"/>
            <w:vAlign w:val="center"/>
          </w:tcPr>
          <w:p w14:paraId="2DDD8F7D">
            <w:pPr>
              <w:pStyle w:val="178"/>
              <w:rPr>
                <w:rFonts w:ascii="Times New Roman"/>
              </w:rPr>
            </w:pPr>
            <w:r>
              <w:rPr>
                <w:rFonts w:ascii="Times New Roman"/>
              </w:rPr>
              <w:t>7</w:t>
            </w:r>
          </w:p>
        </w:tc>
        <w:tc>
          <w:tcPr>
            <w:tcW w:w="1617" w:type="dxa"/>
            <w:shd w:val="clear" w:color="auto" w:fill="auto"/>
            <w:vAlign w:val="center"/>
          </w:tcPr>
          <w:p w14:paraId="15859903">
            <w:pPr>
              <w:pStyle w:val="178"/>
              <w:rPr>
                <w:rFonts w:ascii="Times New Roman"/>
              </w:rPr>
            </w:pPr>
            <w:r>
              <w:rPr>
                <w:rFonts w:ascii="Times New Roman"/>
              </w:rPr>
              <w:t>恩诺沙星</w:t>
            </w:r>
          </w:p>
        </w:tc>
        <w:tc>
          <w:tcPr>
            <w:tcW w:w="2381" w:type="dxa"/>
            <w:shd w:val="clear" w:color="auto" w:fill="auto"/>
            <w:vAlign w:val="center"/>
          </w:tcPr>
          <w:p w14:paraId="0B44E737">
            <w:pPr>
              <w:pStyle w:val="178"/>
              <w:rPr>
                <w:rFonts w:ascii="Times New Roman"/>
              </w:rPr>
            </w:pPr>
            <w:r>
              <w:rPr>
                <w:rFonts w:ascii="Times New Roman"/>
              </w:rPr>
              <w:t>enrofloxacin</w:t>
            </w:r>
          </w:p>
        </w:tc>
        <w:tc>
          <w:tcPr>
            <w:tcW w:w="1523" w:type="dxa"/>
            <w:shd w:val="clear" w:color="auto" w:fill="auto"/>
            <w:vAlign w:val="center"/>
          </w:tcPr>
          <w:p w14:paraId="33F40BDD">
            <w:pPr>
              <w:pStyle w:val="178"/>
              <w:rPr>
                <w:rFonts w:ascii="Times New Roman"/>
              </w:rPr>
            </w:pPr>
            <w:r>
              <w:rPr>
                <w:rFonts w:ascii="Times New Roman"/>
              </w:rPr>
              <w:t>93106-60-6</w:t>
            </w:r>
          </w:p>
        </w:tc>
        <w:tc>
          <w:tcPr>
            <w:tcW w:w="1568" w:type="dxa"/>
            <w:vAlign w:val="center"/>
          </w:tcPr>
          <w:p w14:paraId="63751E34">
            <w:pPr>
              <w:pStyle w:val="178"/>
              <w:rPr>
                <w:rFonts w:ascii="Times New Roman"/>
              </w:rPr>
            </w:pPr>
            <w:r>
              <w:rPr>
                <w:rFonts w:ascii="Times New Roman"/>
              </w:rPr>
              <w:t>359.39</w:t>
            </w:r>
          </w:p>
        </w:tc>
        <w:tc>
          <w:tcPr>
            <w:tcW w:w="1538" w:type="dxa"/>
          </w:tcPr>
          <w:p w14:paraId="3A8A72D7">
            <w:pPr>
              <w:pStyle w:val="178"/>
              <w:rPr>
                <w:rFonts w:ascii="Times New Roman"/>
              </w:rPr>
            </w:pPr>
            <w:r>
              <w:rPr>
                <w:rFonts w:ascii="Times New Roman"/>
              </w:rPr>
              <w:drawing>
                <wp:inline distT="0" distB="0" distL="0" distR="0">
                  <wp:extent cx="877570" cy="416560"/>
                  <wp:effectExtent l="0" t="0" r="0" b="2540"/>
                  <wp:docPr id="11" name="图片 11" descr="https://www.sigmaaldrich.cn/deepweb/assets/sigmaaldrich/product/structures/335/809/34b5232a-675a-4960-ab1d-51fd27f916be/800/34b5232a-675a-4960-ab1d-51fd27f916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https://www.sigmaaldrich.cn/deepweb/assets/sigmaaldrich/product/structures/335/809/34b5232a-675a-4960-ab1d-51fd27f916be/800/34b5232a-675a-4960-ab1d-51fd27f916be.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882350" cy="418818"/>
                          </a:xfrm>
                          <a:prstGeom prst="rect">
                            <a:avLst/>
                          </a:prstGeom>
                          <a:noFill/>
                          <a:ln>
                            <a:noFill/>
                          </a:ln>
                        </pic:spPr>
                      </pic:pic>
                    </a:graphicData>
                  </a:graphic>
                </wp:inline>
              </w:drawing>
            </w:r>
          </w:p>
        </w:tc>
      </w:tr>
      <w:tr w14:paraId="3B1E9B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47" w:type="dxa"/>
            <w:shd w:val="clear" w:color="auto" w:fill="auto"/>
            <w:vAlign w:val="center"/>
          </w:tcPr>
          <w:p w14:paraId="1BB36146">
            <w:pPr>
              <w:pStyle w:val="178"/>
              <w:rPr>
                <w:rFonts w:ascii="Times New Roman"/>
              </w:rPr>
            </w:pPr>
            <w:r>
              <w:rPr>
                <w:rFonts w:ascii="Times New Roman"/>
              </w:rPr>
              <w:t>8</w:t>
            </w:r>
          </w:p>
        </w:tc>
        <w:tc>
          <w:tcPr>
            <w:tcW w:w="1617" w:type="dxa"/>
            <w:shd w:val="clear" w:color="auto" w:fill="auto"/>
            <w:vAlign w:val="center"/>
          </w:tcPr>
          <w:p w14:paraId="68CFFDA4">
            <w:pPr>
              <w:pStyle w:val="178"/>
              <w:rPr>
                <w:rFonts w:ascii="Times New Roman"/>
              </w:rPr>
            </w:pPr>
            <w:r>
              <w:rPr>
                <w:rFonts w:ascii="Times New Roman"/>
              </w:rPr>
              <w:t>培氟沙星</w:t>
            </w:r>
          </w:p>
        </w:tc>
        <w:tc>
          <w:tcPr>
            <w:tcW w:w="2381" w:type="dxa"/>
            <w:shd w:val="clear" w:color="auto" w:fill="auto"/>
            <w:vAlign w:val="center"/>
          </w:tcPr>
          <w:p w14:paraId="22E231EE">
            <w:pPr>
              <w:pStyle w:val="178"/>
              <w:rPr>
                <w:rFonts w:ascii="Times New Roman"/>
              </w:rPr>
            </w:pPr>
            <w:r>
              <w:rPr>
                <w:rFonts w:ascii="Times New Roman"/>
              </w:rPr>
              <w:t>pefloxacin</w:t>
            </w:r>
          </w:p>
        </w:tc>
        <w:tc>
          <w:tcPr>
            <w:tcW w:w="1523" w:type="dxa"/>
            <w:shd w:val="clear" w:color="auto" w:fill="auto"/>
            <w:vAlign w:val="center"/>
          </w:tcPr>
          <w:p w14:paraId="5CF9998F">
            <w:pPr>
              <w:pStyle w:val="178"/>
              <w:rPr>
                <w:rFonts w:ascii="Times New Roman"/>
              </w:rPr>
            </w:pPr>
            <w:r>
              <w:rPr>
                <w:rFonts w:ascii="Times New Roman"/>
              </w:rPr>
              <w:t>70458-92-3</w:t>
            </w:r>
          </w:p>
        </w:tc>
        <w:tc>
          <w:tcPr>
            <w:tcW w:w="1568" w:type="dxa"/>
            <w:vAlign w:val="center"/>
          </w:tcPr>
          <w:p w14:paraId="0EC51760">
            <w:pPr>
              <w:pStyle w:val="178"/>
              <w:rPr>
                <w:rFonts w:ascii="Times New Roman"/>
              </w:rPr>
            </w:pPr>
            <w:r>
              <w:rPr>
                <w:rFonts w:ascii="Times New Roman"/>
              </w:rPr>
              <w:t>333.36</w:t>
            </w:r>
          </w:p>
        </w:tc>
        <w:tc>
          <w:tcPr>
            <w:tcW w:w="1538" w:type="dxa"/>
          </w:tcPr>
          <w:p w14:paraId="2FB00853">
            <w:pPr>
              <w:pStyle w:val="178"/>
              <w:rPr>
                <w:rFonts w:ascii="Times New Roman"/>
              </w:rPr>
            </w:pPr>
            <w:r>
              <w:rPr>
                <w:rFonts w:ascii="Times New Roman"/>
              </w:rPr>
              <w:drawing>
                <wp:inline distT="0" distB="0" distL="0" distR="0">
                  <wp:extent cx="849630" cy="447675"/>
                  <wp:effectExtent l="0" t="0" r="7620" b="0"/>
                  <wp:docPr id="12" name="图片 12" descr="https://www.chemicalbook.com/CAS/GIF/70458-9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https://www.chemicalbook.com/CAS/GIF/70458-92-3.g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861527" cy="453936"/>
                          </a:xfrm>
                          <a:prstGeom prst="rect">
                            <a:avLst/>
                          </a:prstGeom>
                          <a:noFill/>
                          <a:ln>
                            <a:noFill/>
                          </a:ln>
                        </pic:spPr>
                      </pic:pic>
                    </a:graphicData>
                  </a:graphic>
                </wp:inline>
              </w:drawing>
            </w:r>
          </w:p>
        </w:tc>
      </w:tr>
      <w:tr w14:paraId="787560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47" w:type="dxa"/>
            <w:shd w:val="clear" w:color="auto" w:fill="auto"/>
            <w:vAlign w:val="center"/>
          </w:tcPr>
          <w:p w14:paraId="3A0E5863">
            <w:pPr>
              <w:pStyle w:val="178"/>
              <w:rPr>
                <w:rFonts w:ascii="Times New Roman"/>
              </w:rPr>
            </w:pPr>
            <w:r>
              <w:rPr>
                <w:rFonts w:ascii="Times New Roman"/>
              </w:rPr>
              <w:t>9</w:t>
            </w:r>
          </w:p>
        </w:tc>
        <w:tc>
          <w:tcPr>
            <w:tcW w:w="1617" w:type="dxa"/>
            <w:shd w:val="clear" w:color="auto" w:fill="auto"/>
            <w:vAlign w:val="center"/>
          </w:tcPr>
          <w:p w14:paraId="1710F4AB">
            <w:pPr>
              <w:pStyle w:val="178"/>
              <w:rPr>
                <w:rFonts w:ascii="Times New Roman"/>
              </w:rPr>
            </w:pPr>
            <w:r>
              <w:rPr>
                <w:rFonts w:ascii="Times New Roman"/>
              </w:rPr>
              <w:t>二氟沙星</w:t>
            </w:r>
          </w:p>
        </w:tc>
        <w:tc>
          <w:tcPr>
            <w:tcW w:w="2381" w:type="dxa"/>
            <w:shd w:val="clear" w:color="auto" w:fill="auto"/>
            <w:vAlign w:val="center"/>
          </w:tcPr>
          <w:p w14:paraId="251277F1">
            <w:pPr>
              <w:pStyle w:val="178"/>
              <w:rPr>
                <w:rFonts w:ascii="Times New Roman"/>
              </w:rPr>
            </w:pPr>
            <w:r>
              <w:rPr>
                <w:rFonts w:ascii="Times New Roman"/>
              </w:rPr>
              <w:t>difloxacin</w:t>
            </w:r>
          </w:p>
        </w:tc>
        <w:tc>
          <w:tcPr>
            <w:tcW w:w="1523" w:type="dxa"/>
            <w:shd w:val="clear" w:color="auto" w:fill="auto"/>
            <w:vAlign w:val="center"/>
          </w:tcPr>
          <w:p w14:paraId="3B8B6F7C">
            <w:pPr>
              <w:pStyle w:val="178"/>
              <w:rPr>
                <w:rFonts w:ascii="Times New Roman"/>
              </w:rPr>
            </w:pPr>
            <w:r>
              <w:rPr>
                <w:rFonts w:ascii="Times New Roman"/>
              </w:rPr>
              <w:t>98106-17-3</w:t>
            </w:r>
          </w:p>
        </w:tc>
        <w:tc>
          <w:tcPr>
            <w:tcW w:w="1568" w:type="dxa"/>
            <w:vAlign w:val="center"/>
          </w:tcPr>
          <w:p w14:paraId="0DF2E39B">
            <w:pPr>
              <w:pStyle w:val="178"/>
              <w:rPr>
                <w:rFonts w:ascii="Times New Roman"/>
              </w:rPr>
            </w:pPr>
            <w:r>
              <w:rPr>
                <w:rFonts w:ascii="Times New Roman"/>
              </w:rPr>
              <w:t>399.39</w:t>
            </w:r>
          </w:p>
        </w:tc>
        <w:tc>
          <w:tcPr>
            <w:tcW w:w="1538" w:type="dxa"/>
          </w:tcPr>
          <w:p w14:paraId="0E4DE34F">
            <w:pPr>
              <w:pStyle w:val="178"/>
              <w:rPr>
                <w:rFonts w:ascii="Times New Roman"/>
              </w:rPr>
            </w:pPr>
            <w:r>
              <w:rPr>
                <w:rFonts w:ascii="Times New Roman"/>
              </w:rPr>
              <w:drawing>
                <wp:inline distT="0" distB="0" distL="0" distR="0">
                  <wp:extent cx="816610" cy="661670"/>
                  <wp:effectExtent l="0" t="0" r="2540" b="5080"/>
                  <wp:docPr id="13" name="图片 13" descr="https://www.chemicalbook.com/CAS/GIF/98106-1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https://www.chemicalbook.com/CAS/GIF/98106-17-3.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816593" cy="661439"/>
                          </a:xfrm>
                          <a:prstGeom prst="rect">
                            <a:avLst/>
                          </a:prstGeom>
                          <a:noFill/>
                          <a:ln>
                            <a:noFill/>
                          </a:ln>
                        </pic:spPr>
                      </pic:pic>
                    </a:graphicData>
                  </a:graphic>
                </wp:inline>
              </w:drawing>
            </w:r>
          </w:p>
        </w:tc>
      </w:tr>
      <w:tr w14:paraId="47E72A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47" w:type="dxa"/>
            <w:shd w:val="clear" w:color="auto" w:fill="auto"/>
            <w:vAlign w:val="center"/>
          </w:tcPr>
          <w:p w14:paraId="25E95E9C">
            <w:pPr>
              <w:pStyle w:val="178"/>
              <w:rPr>
                <w:rFonts w:ascii="Times New Roman"/>
              </w:rPr>
            </w:pPr>
            <w:r>
              <w:rPr>
                <w:rFonts w:ascii="Times New Roman"/>
              </w:rPr>
              <w:t>10</w:t>
            </w:r>
          </w:p>
        </w:tc>
        <w:tc>
          <w:tcPr>
            <w:tcW w:w="1617" w:type="dxa"/>
            <w:shd w:val="clear" w:color="auto" w:fill="auto"/>
            <w:vAlign w:val="center"/>
          </w:tcPr>
          <w:p w14:paraId="3BF9220D">
            <w:pPr>
              <w:pStyle w:val="178"/>
              <w:rPr>
                <w:rFonts w:ascii="Times New Roman"/>
              </w:rPr>
            </w:pPr>
            <w:r>
              <w:rPr>
                <w:rFonts w:ascii="Times New Roman"/>
              </w:rPr>
              <w:t>洛美沙星</w:t>
            </w:r>
          </w:p>
        </w:tc>
        <w:tc>
          <w:tcPr>
            <w:tcW w:w="2381" w:type="dxa"/>
            <w:shd w:val="clear" w:color="auto" w:fill="auto"/>
            <w:vAlign w:val="center"/>
          </w:tcPr>
          <w:p w14:paraId="4DA2CACC">
            <w:pPr>
              <w:pStyle w:val="178"/>
              <w:rPr>
                <w:rFonts w:ascii="Times New Roman"/>
              </w:rPr>
            </w:pPr>
            <w:r>
              <w:rPr>
                <w:rFonts w:ascii="Times New Roman"/>
              </w:rPr>
              <w:t>lomefloxacin</w:t>
            </w:r>
          </w:p>
        </w:tc>
        <w:tc>
          <w:tcPr>
            <w:tcW w:w="1523" w:type="dxa"/>
            <w:shd w:val="clear" w:color="auto" w:fill="auto"/>
            <w:vAlign w:val="center"/>
          </w:tcPr>
          <w:p w14:paraId="7AA71998">
            <w:pPr>
              <w:pStyle w:val="178"/>
              <w:rPr>
                <w:rFonts w:ascii="Times New Roman"/>
              </w:rPr>
            </w:pPr>
            <w:r>
              <w:rPr>
                <w:rFonts w:ascii="Times New Roman"/>
              </w:rPr>
              <w:t>619-317-6</w:t>
            </w:r>
          </w:p>
        </w:tc>
        <w:tc>
          <w:tcPr>
            <w:tcW w:w="1568" w:type="dxa"/>
            <w:vAlign w:val="center"/>
          </w:tcPr>
          <w:p w14:paraId="3894983F">
            <w:pPr>
              <w:pStyle w:val="178"/>
              <w:rPr>
                <w:rFonts w:ascii="Times New Roman"/>
              </w:rPr>
            </w:pPr>
            <w:r>
              <w:rPr>
                <w:rFonts w:ascii="Times New Roman"/>
              </w:rPr>
              <w:t>351.35</w:t>
            </w:r>
          </w:p>
        </w:tc>
        <w:tc>
          <w:tcPr>
            <w:tcW w:w="1538" w:type="dxa"/>
          </w:tcPr>
          <w:p w14:paraId="156C1242">
            <w:pPr>
              <w:pStyle w:val="178"/>
              <w:rPr>
                <w:rFonts w:ascii="Times New Roman"/>
              </w:rPr>
            </w:pPr>
            <w:r>
              <w:rPr>
                <w:rFonts w:ascii="Times New Roman"/>
              </w:rPr>
              <w:drawing>
                <wp:inline distT="0" distB="0" distL="0" distR="0">
                  <wp:extent cx="734695" cy="387350"/>
                  <wp:effectExtent l="0" t="0" r="8255" b="0"/>
                  <wp:docPr id="14" name="图片 14" descr="https://www.chemicalbook.com/CAS/GIF/98079-5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https://www.chemicalbook.com/CAS/GIF/98079-51-7.g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735314" cy="387434"/>
                          </a:xfrm>
                          <a:prstGeom prst="rect">
                            <a:avLst/>
                          </a:prstGeom>
                          <a:noFill/>
                          <a:ln>
                            <a:noFill/>
                          </a:ln>
                        </pic:spPr>
                      </pic:pic>
                    </a:graphicData>
                  </a:graphic>
                </wp:inline>
              </w:drawing>
            </w:r>
          </w:p>
        </w:tc>
      </w:tr>
      <w:tr w14:paraId="634D0A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47" w:type="dxa"/>
            <w:shd w:val="clear" w:color="auto" w:fill="auto"/>
            <w:vAlign w:val="center"/>
          </w:tcPr>
          <w:p w14:paraId="53B4BD13">
            <w:pPr>
              <w:pStyle w:val="178"/>
              <w:rPr>
                <w:rFonts w:ascii="Times New Roman"/>
              </w:rPr>
            </w:pPr>
            <w:r>
              <w:rPr>
                <w:rFonts w:ascii="Times New Roman"/>
              </w:rPr>
              <w:t>11</w:t>
            </w:r>
          </w:p>
        </w:tc>
        <w:tc>
          <w:tcPr>
            <w:tcW w:w="1617" w:type="dxa"/>
            <w:shd w:val="clear" w:color="auto" w:fill="auto"/>
            <w:vAlign w:val="center"/>
          </w:tcPr>
          <w:p w14:paraId="07D264C4">
            <w:pPr>
              <w:pStyle w:val="178"/>
              <w:rPr>
                <w:rFonts w:ascii="Times New Roman"/>
              </w:rPr>
            </w:pPr>
            <w:r>
              <w:rPr>
                <w:rFonts w:ascii="Times New Roman"/>
              </w:rPr>
              <w:t>磺胺二甲嘧啶</w:t>
            </w:r>
          </w:p>
        </w:tc>
        <w:tc>
          <w:tcPr>
            <w:tcW w:w="2381" w:type="dxa"/>
            <w:shd w:val="clear" w:color="auto" w:fill="auto"/>
            <w:vAlign w:val="center"/>
          </w:tcPr>
          <w:p w14:paraId="2DA7BCFE">
            <w:pPr>
              <w:pStyle w:val="178"/>
              <w:rPr>
                <w:rFonts w:ascii="Times New Roman"/>
              </w:rPr>
            </w:pPr>
            <w:r>
              <w:rPr>
                <w:rFonts w:ascii="Times New Roman"/>
              </w:rPr>
              <w:t>sulfamethazine</w:t>
            </w:r>
          </w:p>
        </w:tc>
        <w:tc>
          <w:tcPr>
            <w:tcW w:w="1523" w:type="dxa"/>
            <w:shd w:val="clear" w:color="auto" w:fill="auto"/>
            <w:vAlign w:val="center"/>
          </w:tcPr>
          <w:p w14:paraId="717B8BFB">
            <w:pPr>
              <w:pStyle w:val="178"/>
              <w:rPr>
                <w:rFonts w:ascii="Times New Roman"/>
              </w:rPr>
            </w:pPr>
            <w:r>
              <w:rPr>
                <w:rFonts w:ascii="Times New Roman"/>
              </w:rPr>
              <w:t>35762-76-6</w:t>
            </w:r>
          </w:p>
        </w:tc>
        <w:tc>
          <w:tcPr>
            <w:tcW w:w="1568" w:type="dxa"/>
            <w:vAlign w:val="center"/>
          </w:tcPr>
          <w:p w14:paraId="7539D41F">
            <w:pPr>
              <w:pStyle w:val="178"/>
              <w:rPr>
                <w:rFonts w:ascii="Times New Roman"/>
              </w:rPr>
            </w:pPr>
            <w:r>
              <w:rPr>
                <w:rFonts w:ascii="Times New Roman"/>
              </w:rPr>
              <w:t>187.22</w:t>
            </w:r>
          </w:p>
        </w:tc>
        <w:tc>
          <w:tcPr>
            <w:tcW w:w="1538" w:type="dxa"/>
          </w:tcPr>
          <w:p w14:paraId="66850D67">
            <w:pPr>
              <w:pStyle w:val="178"/>
              <w:rPr>
                <w:rFonts w:ascii="Times New Roman"/>
              </w:rPr>
            </w:pPr>
            <w:r>
              <w:rPr>
                <w:rFonts w:ascii="Times New Roman"/>
              </w:rPr>
              <w:drawing>
                <wp:inline distT="0" distB="0" distL="0" distR="0">
                  <wp:extent cx="624840" cy="525145"/>
                  <wp:effectExtent l="0" t="0" r="3810" b="8255"/>
                  <wp:docPr id="15" name="图片 15" descr="https://www.chemicalbook.com/CAS/GIF/35762-7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https://www.chemicalbook.com/CAS/GIF/35762-76-6.g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629371" cy="528958"/>
                          </a:xfrm>
                          <a:prstGeom prst="rect">
                            <a:avLst/>
                          </a:prstGeom>
                          <a:noFill/>
                          <a:ln>
                            <a:noFill/>
                          </a:ln>
                        </pic:spPr>
                      </pic:pic>
                    </a:graphicData>
                  </a:graphic>
                </wp:inline>
              </w:drawing>
            </w:r>
          </w:p>
        </w:tc>
      </w:tr>
      <w:tr w14:paraId="553150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47" w:type="dxa"/>
            <w:shd w:val="clear" w:color="auto" w:fill="auto"/>
            <w:vAlign w:val="center"/>
          </w:tcPr>
          <w:p w14:paraId="0254DB8A">
            <w:pPr>
              <w:pStyle w:val="178"/>
              <w:rPr>
                <w:rFonts w:ascii="Times New Roman"/>
              </w:rPr>
            </w:pPr>
            <w:r>
              <w:rPr>
                <w:rFonts w:ascii="Times New Roman"/>
              </w:rPr>
              <w:t>12</w:t>
            </w:r>
          </w:p>
        </w:tc>
        <w:tc>
          <w:tcPr>
            <w:tcW w:w="1617" w:type="dxa"/>
            <w:shd w:val="clear" w:color="auto" w:fill="auto"/>
            <w:vAlign w:val="center"/>
          </w:tcPr>
          <w:p w14:paraId="5ED4459E">
            <w:pPr>
              <w:pStyle w:val="178"/>
              <w:rPr>
                <w:rFonts w:ascii="Times New Roman"/>
              </w:rPr>
            </w:pPr>
            <w:r>
              <w:rPr>
                <w:rFonts w:ascii="Times New Roman"/>
              </w:rPr>
              <w:t>磺胺甲噁唑</w:t>
            </w:r>
          </w:p>
        </w:tc>
        <w:tc>
          <w:tcPr>
            <w:tcW w:w="2381" w:type="dxa"/>
            <w:shd w:val="clear" w:color="auto" w:fill="auto"/>
            <w:vAlign w:val="center"/>
          </w:tcPr>
          <w:p w14:paraId="3F20207E">
            <w:pPr>
              <w:pStyle w:val="178"/>
              <w:rPr>
                <w:rFonts w:ascii="Times New Roman"/>
              </w:rPr>
            </w:pPr>
            <w:r>
              <w:rPr>
                <w:rFonts w:ascii="Times New Roman"/>
              </w:rPr>
              <w:t>sulfamethoxazole</w:t>
            </w:r>
          </w:p>
        </w:tc>
        <w:tc>
          <w:tcPr>
            <w:tcW w:w="1523" w:type="dxa"/>
            <w:shd w:val="clear" w:color="auto" w:fill="auto"/>
            <w:vAlign w:val="center"/>
          </w:tcPr>
          <w:p w14:paraId="696D592C">
            <w:pPr>
              <w:pStyle w:val="178"/>
              <w:rPr>
                <w:rFonts w:ascii="Times New Roman"/>
              </w:rPr>
            </w:pPr>
            <w:r>
              <w:rPr>
                <w:rFonts w:ascii="Times New Roman"/>
              </w:rPr>
              <w:t>723-46-6</w:t>
            </w:r>
          </w:p>
        </w:tc>
        <w:tc>
          <w:tcPr>
            <w:tcW w:w="1568" w:type="dxa"/>
            <w:vAlign w:val="center"/>
          </w:tcPr>
          <w:p w14:paraId="5005F417">
            <w:pPr>
              <w:pStyle w:val="178"/>
              <w:rPr>
                <w:rFonts w:ascii="Times New Roman"/>
              </w:rPr>
            </w:pPr>
            <w:r>
              <w:rPr>
                <w:rFonts w:ascii="Times New Roman"/>
              </w:rPr>
              <w:t>253.28</w:t>
            </w:r>
          </w:p>
        </w:tc>
        <w:tc>
          <w:tcPr>
            <w:tcW w:w="1538" w:type="dxa"/>
          </w:tcPr>
          <w:p w14:paraId="6163D2D2">
            <w:pPr>
              <w:pStyle w:val="178"/>
              <w:rPr>
                <w:rFonts w:ascii="Times New Roman"/>
              </w:rPr>
            </w:pPr>
            <w:r>
              <w:rPr>
                <w:rFonts w:ascii="Times New Roman"/>
              </w:rPr>
              <w:drawing>
                <wp:inline distT="0" distB="0" distL="0" distR="0">
                  <wp:extent cx="843915" cy="339090"/>
                  <wp:effectExtent l="0" t="0" r="0" b="3810"/>
                  <wp:docPr id="16" name="图片 16" descr="https://www.chemicalbook.com/CAS/GIF/723-4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https://www.chemicalbook.com/CAS/GIF/723-46-6.g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844139" cy="339619"/>
                          </a:xfrm>
                          <a:prstGeom prst="rect">
                            <a:avLst/>
                          </a:prstGeom>
                          <a:noFill/>
                          <a:ln>
                            <a:noFill/>
                          </a:ln>
                        </pic:spPr>
                      </pic:pic>
                    </a:graphicData>
                  </a:graphic>
                </wp:inline>
              </w:drawing>
            </w:r>
          </w:p>
        </w:tc>
      </w:tr>
      <w:tr w14:paraId="7DD8F02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47" w:type="dxa"/>
            <w:shd w:val="clear" w:color="auto" w:fill="auto"/>
            <w:vAlign w:val="center"/>
          </w:tcPr>
          <w:p w14:paraId="17719B5C">
            <w:pPr>
              <w:pStyle w:val="178"/>
              <w:rPr>
                <w:rFonts w:ascii="Times New Roman"/>
              </w:rPr>
            </w:pPr>
            <w:r>
              <w:rPr>
                <w:rFonts w:ascii="Times New Roman"/>
              </w:rPr>
              <w:t>13</w:t>
            </w:r>
          </w:p>
        </w:tc>
        <w:tc>
          <w:tcPr>
            <w:tcW w:w="1617" w:type="dxa"/>
            <w:shd w:val="clear" w:color="auto" w:fill="auto"/>
            <w:vAlign w:val="center"/>
          </w:tcPr>
          <w:p w14:paraId="3824033F">
            <w:pPr>
              <w:pStyle w:val="178"/>
              <w:rPr>
                <w:rFonts w:ascii="Times New Roman"/>
              </w:rPr>
            </w:pPr>
            <w:r>
              <w:rPr>
                <w:rFonts w:ascii="Times New Roman"/>
              </w:rPr>
              <w:t>磺胺嘧啶</w:t>
            </w:r>
          </w:p>
        </w:tc>
        <w:tc>
          <w:tcPr>
            <w:tcW w:w="2381" w:type="dxa"/>
            <w:shd w:val="clear" w:color="auto" w:fill="auto"/>
            <w:vAlign w:val="center"/>
          </w:tcPr>
          <w:p w14:paraId="143668C5">
            <w:pPr>
              <w:pStyle w:val="178"/>
              <w:rPr>
                <w:rFonts w:ascii="Times New Roman"/>
              </w:rPr>
            </w:pPr>
            <w:r>
              <w:rPr>
                <w:rFonts w:ascii="Times New Roman"/>
              </w:rPr>
              <w:t>sulfadiazine</w:t>
            </w:r>
          </w:p>
        </w:tc>
        <w:tc>
          <w:tcPr>
            <w:tcW w:w="1523" w:type="dxa"/>
            <w:shd w:val="clear" w:color="auto" w:fill="auto"/>
            <w:vAlign w:val="center"/>
          </w:tcPr>
          <w:p w14:paraId="2F8112CA">
            <w:pPr>
              <w:pStyle w:val="178"/>
              <w:rPr>
                <w:rFonts w:ascii="Times New Roman"/>
              </w:rPr>
            </w:pPr>
            <w:r>
              <w:rPr>
                <w:rFonts w:ascii="Times New Roman"/>
              </w:rPr>
              <w:t>68-35-9</w:t>
            </w:r>
          </w:p>
        </w:tc>
        <w:tc>
          <w:tcPr>
            <w:tcW w:w="1568" w:type="dxa"/>
            <w:vAlign w:val="center"/>
          </w:tcPr>
          <w:p w14:paraId="099D2D71">
            <w:pPr>
              <w:pStyle w:val="178"/>
              <w:rPr>
                <w:rFonts w:ascii="Times New Roman"/>
              </w:rPr>
            </w:pPr>
            <w:r>
              <w:rPr>
                <w:rFonts w:ascii="Times New Roman"/>
              </w:rPr>
              <w:t>250.28</w:t>
            </w:r>
          </w:p>
        </w:tc>
        <w:tc>
          <w:tcPr>
            <w:tcW w:w="1538" w:type="dxa"/>
          </w:tcPr>
          <w:p w14:paraId="6D0E2B5A">
            <w:pPr>
              <w:pStyle w:val="178"/>
              <w:rPr>
                <w:rFonts w:ascii="Times New Roman"/>
              </w:rPr>
            </w:pPr>
            <w:r>
              <w:rPr>
                <w:rFonts w:ascii="Times New Roman"/>
              </w:rPr>
              <w:drawing>
                <wp:inline distT="0" distB="0" distL="0" distR="0">
                  <wp:extent cx="970280" cy="434340"/>
                  <wp:effectExtent l="0" t="0" r="1270" b="3810"/>
                  <wp:docPr id="17" name="图片 17" descr="https://www.chemicalbook.com/CAS/GIF/68-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https://www.chemicalbook.com/CAS/GIF/68-35-9.g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971908" cy="435109"/>
                          </a:xfrm>
                          <a:prstGeom prst="rect">
                            <a:avLst/>
                          </a:prstGeom>
                          <a:noFill/>
                          <a:ln>
                            <a:noFill/>
                          </a:ln>
                        </pic:spPr>
                      </pic:pic>
                    </a:graphicData>
                  </a:graphic>
                </wp:inline>
              </w:drawing>
            </w:r>
          </w:p>
        </w:tc>
      </w:tr>
      <w:tr w14:paraId="0DB924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47" w:type="dxa"/>
            <w:shd w:val="clear" w:color="auto" w:fill="auto"/>
            <w:vAlign w:val="center"/>
          </w:tcPr>
          <w:p w14:paraId="32F4FDA3">
            <w:pPr>
              <w:pStyle w:val="178"/>
              <w:rPr>
                <w:rFonts w:ascii="Times New Roman"/>
              </w:rPr>
            </w:pPr>
            <w:r>
              <w:rPr>
                <w:rFonts w:ascii="Times New Roman"/>
              </w:rPr>
              <w:t>14</w:t>
            </w:r>
          </w:p>
        </w:tc>
        <w:tc>
          <w:tcPr>
            <w:tcW w:w="1617" w:type="dxa"/>
            <w:shd w:val="clear" w:color="auto" w:fill="auto"/>
            <w:vAlign w:val="center"/>
          </w:tcPr>
          <w:p w14:paraId="721DCF1B">
            <w:pPr>
              <w:pStyle w:val="178"/>
              <w:rPr>
                <w:rFonts w:ascii="Times New Roman"/>
              </w:rPr>
            </w:pPr>
            <w:r>
              <w:rPr>
                <w:rFonts w:ascii="Times New Roman"/>
              </w:rPr>
              <w:t>甲氧苄啶</w:t>
            </w:r>
          </w:p>
        </w:tc>
        <w:tc>
          <w:tcPr>
            <w:tcW w:w="2381" w:type="dxa"/>
            <w:shd w:val="clear" w:color="auto" w:fill="auto"/>
            <w:vAlign w:val="center"/>
          </w:tcPr>
          <w:p w14:paraId="3CED998A">
            <w:pPr>
              <w:pStyle w:val="178"/>
              <w:rPr>
                <w:rFonts w:ascii="Times New Roman"/>
              </w:rPr>
            </w:pPr>
            <w:r>
              <w:rPr>
                <w:rFonts w:ascii="Times New Roman"/>
              </w:rPr>
              <w:t>trimethoprim</w:t>
            </w:r>
          </w:p>
        </w:tc>
        <w:tc>
          <w:tcPr>
            <w:tcW w:w="1523" w:type="dxa"/>
            <w:shd w:val="clear" w:color="auto" w:fill="auto"/>
            <w:vAlign w:val="center"/>
          </w:tcPr>
          <w:p w14:paraId="25A1B8A3">
            <w:pPr>
              <w:pStyle w:val="178"/>
              <w:rPr>
                <w:rFonts w:ascii="Times New Roman"/>
              </w:rPr>
            </w:pPr>
            <w:r>
              <w:rPr>
                <w:rFonts w:ascii="Times New Roman"/>
              </w:rPr>
              <w:t>738-70-5</w:t>
            </w:r>
          </w:p>
        </w:tc>
        <w:tc>
          <w:tcPr>
            <w:tcW w:w="1568" w:type="dxa"/>
            <w:vAlign w:val="center"/>
          </w:tcPr>
          <w:p w14:paraId="75CD5D98">
            <w:pPr>
              <w:pStyle w:val="178"/>
              <w:rPr>
                <w:rFonts w:ascii="Times New Roman"/>
              </w:rPr>
            </w:pPr>
            <w:r>
              <w:rPr>
                <w:rFonts w:ascii="Times New Roman"/>
              </w:rPr>
              <w:t>290.32</w:t>
            </w:r>
          </w:p>
        </w:tc>
        <w:tc>
          <w:tcPr>
            <w:tcW w:w="1538" w:type="dxa"/>
          </w:tcPr>
          <w:p w14:paraId="6BDCC7B8">
            <w:pPr>
              <w:pStyle w:val="178"/>
              <w:rPr>
                <w:rFonts w:ascii="Times New Roman"/>
              </w:rPr>
            </w:pPr>
            <w:r>
              <w:rPr>
                <w:rFonts w:ascii="Times New Roman"/>
              </w:rPr>
              <w:drawing>
                <wp:inline distT="0" distB="0" distL="0" distR="0">
                  <wp:extent cx="974090" cy="437515"/>
                  <wp:effectExtent l="0" t="0" r="0" b="635"/>
                  <wp:docPr id="18" name="图片 18" descr="https://www.chemicalbook.com/CAS/GIF/738-7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https://www.chemicalbook.com/CAS/GIF/738-70-5.g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977626" cy="439189"/>
                          </a:xfrm>
                          <a:prstGeom prst="rect">
                            <a:avLst/>
                          </a:prstGeom>
                          <a:noFill/>
                          <a:ln>
                            <a:noFill/>
                          </a:ln>
                        </pic:spPr>
                      </pic:pic>
                    </a:graphicData>
                  </a:graphic>
                </wp:inline>
              </w:drawing>
            </w:r>
          </w:p>
        </w:tc>
      </w:tr>
      <w:tr w14:paraId="4CAE5C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47" w:type="dxa"/>
            <w:shd w:val="clear" w:color="auto" w:fill="auto"/>
            <w:vAlign w:val="center"/>
          </w:tcPr>
          <w:p w14:paraId="13F71387">
            <w:pPr>
              <w:pStyle w:val="178"/>
              <w:rPr>
                <w:rFonts w:ascii="Times New Roman"/>
              </w:rPr>
            </w:pPr>
            <w:r>
              <w:rPr>
                <w:rFonts w:ascii="Times New Roman"/>
              </w:rPr>
              <w:t>15</w:t>
            </w:r>
          </w:p>
        </w:tc>
        <w:tc>
          <w:tcPr>
            <w:tcW w:w="1617" w:type="dxa"/>
            <w:shd w:val="clear" w:color="auto" w:fill="auto"/>
            <w:vAlign w:val="center"/>
          </w:tcPr>
          <w:p w14:paraId="4E9A75B8">
            <w:pPr>
              <w:pStyle w:val="178"/>
              <w:rPr>
                <w:rFonts w:ascii="Times New Roman"/>
              </w:rPr>
            </w:pPr>
            <w:r>
              <w:rPr>
                <w:rFonts w:ascii="Times New Roman"/>
              </w:rPr>
              <w:t>磺胺喹噁啉</w:t>
            </w:r>
          </w:p>
        </w:tc>
        <w:tc>
          <w:tcPr>
            <w:tcW w:w="2381" w:type="dxa"/>
            <w:shd w:val="clear" w:color="auto" w:fill="auto"/>
            <w:vAlign w:val="center"/>
          </w:tcPr>
          <w:p w14:paraId="252DBC14">
            <w:pPr>
              <w:pStyle w:val="178"/>
              <w:rPr>
                <w:rFonts w:ascii="Times New Roman"/>
              </w:rPr>
            </w:pPr>
            <w:r>
              <w:rPr>
                <w:rFonts w:ascii="Times New Roman"/>
              </w:rPr>
              <w:t>sulfaquinoxaline</w:t>
            </w:r>
          </w:p>
        </w:tc>
        <w:tc>
          <w:tcPr>
            <w:tcW w:w="1523" w:type="dxa"/>
            <w:shd w:val="clear" w:color="auto" w:fill="auto"/>
            <w:vAlign w:val="center"/>
          </w:tcPr>
          <w:p w14:paraId="60A53578">
            <w:pPr>
              <w:pStyle w:val="178"/>
              <w:rPr>
                <w:rFonts w:ascii="Times New Roman"/>
              </w:rPr>
            </w:pPr>
            <w:r>
              <w:rPr>
                <w:rFonts w:ascii="Times New Roman"/>
              </w:rPr>
              <w:t>59-40-5</w:t>
            </w:r>
          </w:p>
        </w:tc>
        <w:tc>
          <w:tcPr>
            <w:tcW w:w="1568" w:type="dxa"/>
            <w:vAlign w:val="center"/>
          </w:tcPr>
          <w:p w14:paraId="03B42358">
            <w:pPr>
              <w:pStyle w:val="178"/>
              <w:rPr>
                <w:rFonts w:ascii="Times New Roman"/>
              </w:rPr>
            </w:pPr>
            <w:r>
              <w:rPr>
                <w:rFonts w:ascii="Times New Roman"/>
              </w:rPr>
              <w:t>300.34</w:t>
            </w:r>
          </w:p>
        </w:tc>
        <w:tc>
          <w:tcPr>
            <w:tcW w:w="1538" w:type="dxa"/>
          </w:tcPr>
          <w:p w14:paraId="0788EC7C">
            <w:pPr>
              <w:pStyle w:val="178"/>
              <w:rPr>
                <w:rFonts w:ascii="Times New Roman"/>
              </w:rPr>
            </w:pPr>
            <w:r>
              <w:rPr>
                <w:rFonts w:ascii="Times New Roman"/>
              </w:rPr>
              <w:drawing>
                <wp:inline distT="0" distB="0" distL="0" distR="0">
                  <wp:extent cx="960120" cy="348615"/>
                  <wp:effectExtent l="0" t="0" r="0" b="0"/>
                  <wp:docPr id="19" name="图片 19" descr="https://www.chemicalbook.com/CAS/GIF/59-4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https://www.chemicalbook.com/CAS/GIF/59-40-5.g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962968" cy="350030"/>
                          </a:xfrm>
                          <a:prstGeom prst="rect">
                            <a:avLst/>
                          </a:prstGeom>
                          <a:noFill/>
                          <a:ln>
                            <a:noFill/>
                          </a:ln>
                        </pic:spPr>
                      </pic:pic>
                    </a:graphicData>
                  </a:graphic>
                </wp:inline>
              </w:drawing>
            </w:r>
          </w:p>
        </w:tc>
      </w:tr>
      <w:tr w14:paraId="7E979B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47" w:type="dxa"/>
            <w:shd w:val="clear" w:color="auto" w:fill="auto"/>
            <w:vAlign w:val="center"/>
          </w:tcPr>
          <w:p w14:paraId="65A0E96F">
            <w:pPr>
              <w:pStyle w:val="178"/>
              <w:rPr>
                <w:rFonts w:ascii="Times New Roman"/>
              </w:rPr>
            </w:pPr>
            <w:r>
              <w:rPr>
                <w:rFonts w:ascii="Times New Roman"/>
              </w:rPr>
              <w:t>16</w:t>
            </w:r>
          </w:p>
        </w:tc>
        <w:tc>
          <w:tcPr>
            <w:tcW w:w="1617" w:type="dxa"/>
            <w:shd w:val="clear" w:color="auto" w:fill="auto"/>
            <w:vAlign w:val="center"/>
          </w:tcPr>
          <w:p w14:paraId="1C708BEF">
            <w:pPr>
              <w:pStyle w:val="178"/>
              <w:rPr>
                <w:rFonts w:ascii="Times New Roman"/>
              </w:rPr>
            </w:pPr>
            <w:r>
              <w:rPr>
                <w:rFonts w:ascii="Times New Roman"/>
              </w:rPr>
              <w:t>磺胺氯哒嗪</w:t>
            </w:r>
          </w:p>
        </w:tc>
        <w:tc>
          <w:tcPr>
            <w:tcW w:w="2381" w:type="dxa"/>
            <w:shd w:val="clear" w:color="auto" w:fill="auto"/>
            <w:vAlign w:val="center"/>
          </w:tcPr>
          <w:p w14:paraId="52560C15">
            <w:pPr>
              <w:pStyle w:val="178"/>
              <w:rPr>
                <w:rFonts w:ascii="Times New Roman"/>
              </w:rPr>
            </w:pPr>
            <w:r>
              <w:rPr>
                <w:rFonts w:ascii="Times New Roman"/>
              </w:rPr>
              <w:t>sulfachloropyridazine</w:t>
            </w:r>
          </w:p>
        </w:tc>
        <w:tc>
          <w:tcPr>
            <w:tcW w:w="1523" w:type="dxa"/>
            <w:shd w:val="clear" w:color="auto" w:fill="auto"/>
            <w:vAlign w:val="center"/>
          </w:tcPr>
          <w:p w14:paraId="5DE52465">
            <w:pPr>
              <w:pStyle w:val="178"/>
              <w:rPr>
                <w:rFonts w:ascii="Times New Roman"/>
              </w:rPr>
            </w:pPr>
            <w:r>
              <w:rPr>
                <w:rFonts w:ascii="Times New Roman"/>
              </w:rPr>
              <w:t>80-32-0</w:t>
            </w:r>
          </w:p>
        </w:tc>
        <w:tc>
          <w:tcPr>
            <w:tcW w:w="1568" w:type="dxa"/>
            <w:vAlign w:val="center"/>
          </w:tcPr>
          <w:p w14:paraId="2281AD31">
            <w:pPr>
              <w:pStyle w:val="178"/>
              <w:rPr>
                <w:rFonts w:ascii="Times New Roman"/>
              </w:rPr>
            </w:pPr>
            <w:r>
              <w:rPr>
                <w:rFonts w:ascii="Times New Roman"/>
              </w:rPr>
              <w:t>284.72</w:t>
            </w:r>
          </w:p>
        </w:tc>
        <w:tc>
          <w:tcPr>
            <w:tcW w:w="1538" w:type="dxa"/>
          </w:tcPr>
          <w:p w14:paraId="626F472B">
            <w:pPr>
              <w:pStyle w:val="178"/>
              <w:rPr>
                <w:rFonts w:ascii="Times New Roman"/>
              </w:rPr>
            </w:pPr>
            <w:r>
              <w:rPr>
                <w:rFonts w:ascii="Times New Roman"/>
              </w:rPr>
              <w:drawing>
                <wp:inline distT="0" distB="0" distL="0" distR="0">
                  <wp:extent cx="960120" cy="377190"/>
                  <wp:effectExtent l="0" t="0" r="0" b="3810"/>
                  <wp:docPr id="20" name="图片 20" descr="https://www.chemicalbook.com/CAS/GIF/80-3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https://www.chemicalbook.com/CAS/GIF/80-32-0.g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964320" cy="379371"/>
                          </a:xfrm>
                          <a:prstGeom prst="rect">
                            <a:avLst/>
                          </a:prstGeom>
                          <a:noFill/>
                          <a:ln>
                            <a:noFill/>
                          </a:ln>
                        </pic:spPr>
                      </pic:pic>
                    </a:graphicData>
                  </a:graphic>
                </wp:inline>
              </w:drawing>
            </w:r>
          </w:p>
        </w:tc>
      </w:tr>
      <w:tr w14:paraId="47BB9A6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47" w:type="dxa"/>
            <w:shd w:val="clear" w:color="auto" w:fill="auto"/>
            <w:vAlign w:val="center"/>
          </w:tcPr>
          <w:p w14:paraId="31032E27">
            <w:pPr>
              <w:pStyle w:val="178"/>
              <w:rPr>
                <w:rFonts w:ascii="Times New Roman"/>
              </w:rPr>
            </w:pPr>
            <w:r>
              <w:rPr>
                <w:rFonts w:ascii="Times New Roman"/>
              </w:rPr>
              <w:t>17</w:t>
            </w:r>
          </w:p>
        </w:tc>
        <w:tc>
          <w:tcPr>
            <w:tcW w:w="1617" w:type="dxa"/>
            <w:shd w:val="clear" w:color="auto" w:fill="auto"/>
            <w:vAlign w:val="center"/>
          </w:tcPr>
          <w:p w14:paraId="7F82B49E">
            <w:pPr>
              <w:pStyle w:val="178"/>
              <w:rPr>
                <w:rFonts w:ascii="Times New Roman"/>
              </w:rPr>
            </w:pPr>
            <w:r>
              <w:rPr>
                <w:rFonts w:ascii="Times New Roman"/>
              </w:rPr>
              <w:t>磺胺林</w:t>
            </w:r>
          </w:p>
        </w:tc>
        <w:tc>
          <w:tcPr>
            <w:tcW w:w="2381" w:type="dxa"/>
            <w:shd w:val="clear" w:color="auto" w:fill="auto"/>
            <w:vAlign w:val="center"/>
          </w:tcPr>
          <w:p w14:paraId="25EED4B8">
            <w:pPr>
              <w:pStyle w:val="178"/>
              <w:rPr>
                <w:rFonts w:ascii="Times New Roman"/>
              </w:rPr>
            </w:pPr>
            <w:r>
              <w:rPr>
                <w:rFonts w:ascii="Times New Roman"/>
              </w:rPr>
              <w:t>sulfalene</w:t>
            </w:r>
          </w:p>
        </w:tc>
        <w:tc>
          <w:tcPr>
            <w:tcW w:w="1523" w:type="dxa"/>
            <w:shd w:val="clear" w:color="auto" w:fill="auto"/>
            <w:vAlign w:val="center"/>
          </w:tcPr>
          <w:p w14:paraId="043FD8C2">
            <w:pPr>
              <w:pStyle w:val="178"/>
              <w:rPr>
                <w:rFonts w:ascii="Times New Roman"/>
              </w:rPr>
            </w:pPr>
            <w:r>
              <w:rPr>
                <w:rFonts w:ascii="Times New Roman"/>
              </w:rPr>
              <w:t>152-47-6</w:t>
            </w:r>
          </w:p>
        </w:tc>
        <w:tc>
          <w:tcPr>
            <w:tcW w:w="1568" w:type="dxa"/>
            <w:vAlign w:val="center"/>
          </w:tcPr>
          <w:p w14:paraId="5600459B">
            <w:pPr>
              <w:pStyle w:val="178"/>
              <w:rPr>
                <w:rFonts w:ascii="Times New Roman"/>
              </w:rPr>
            </w:pPr>
            <w:r>
              <w:rPr>
                <w:rFonts w:ascii="Times New Roman"/>
              </w:rPr>
              <w:t>280.30</w:t>
            </w:r>
          </w:p>
        </w:tc>
        <w:tc>
          <w:tcPr>
            <w:tcW w:w="1538" w:type="dxa"/>
          </w:tcPr>
          <w:p w14:paraId="02ED569C">
            <w:pPr>
              <w:pStyle w:val="178"/>
              <w:rPr>
                <w:rFonts w:ascii="Times New Roman"/>
              </w:rPr>
            </w:pPr>
            <w:r>
              <w:rPr>
                <w:rFonts w:ascii="Times New Roman"/>
              </w:rPr>
              <w:drawing>
                <wp:inline distT="0" distB="0" distL="0" distR="0">
                  <wp:extent cx="766445" cy="438150"/>
                  <wp:effectExtent l="0" t="0" r="0" b="0"/>
                  <wp:docPr id="21" name="图片 21" descr="https://www.chemicalbook.com/CAS/GIF/152-4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https://www.chemicalbook.com/CAS/GIF/152-47-6.gi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767442" cy="438989"/>
                          </a:xfrm>
                          <a:prstGeom prst="rect">
                            <a:avLst/>
                          </a:prstGeom>
                          <a:noFill/>
                          <a:ln>
                            <a:noFill/>
                          </a:ln>
                        </pic:spPr>
                      </pic:pic>
                    </a:graphicData>
                  </a:graphic>
                </wp:inline>
              </w:drawing>
            </w:r>
          </w:p>
        </w:tc>
      </w:tr>
      <w:tr w14:paraId="46D55F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47" w:type="dxa"/>
            <w:shd w:val="clear" w:color="auto" w:fill="auto"/>
            <w:vAlign w:val="center"/>
          </w:tcPr>
          <w:p w14:paraId="0F3323AE">
            <w:pPr>
              <w:pStyle w:val="178"/>
              <w:rPr>
                <w:rFonts w:ascii="Times New Roman"/>
              </w:rPr>
            </w:pPr>
            <w:r>
              <w:rPr>
                <w:rFonts w:ascii="Times New Roman"/>
              </w:rPr>
              <w:t>18</w:t>
            </w:r>
          </w:p>
        </w:tc>
        <w:tc>
          <w:tcPr>
            <w:tcW w:w="1617" w:type="dxa"/>
            <w:shd w:val="clear" w:color="auto" w:fill="auto"/>
            <w:vAlign w:val="center"/>
          </w:tcPr>
          <w:p w14:paraId="198FDC33">
            <w:pPr>
              <w:pStyle w:val="178"/>
              <w:rPr>
                <w:rFonts w:ascii="Times New Roman"/>
              </w:rPr>
            </w:pPr>
            <w:r>
              <w:rPr>
                <w:rFonts w:ascii="Times New Roman"/>
              </w:rPr>
              <w:t>头孢克洛</w:t>
            </w:r>
          </w:p>
        </w:tc>
        <w:tc>
          <w:tcPr>
            <w:tcW w:w="2381" w:type="dxa"/>
            <w:shd w:val="clear" w:color="auto" w:fill="auto"/>
            <w:vAlign w:val="center"/>
          </w:tcPr>
          <w:p w14:paraId="3C1DCC54">
            <w:pPr>
              <w:pStyle w:val="178"/>
              <w:rPr>
                <w:rFonts w:ascii="Times New Roman"/>
              </w:rPr>
            </w:pPr>
            <w:r>
              <w:rPr>
                <w:rFonts w:ascii="Times New Roman"/>
              </w:rPr>
              <w:t xml:space="preserve">Cefaclor </w:t>
            </w:r>
          </w:p>
        </w:tc>
        <w:tc>
          <w:tcPr>
            <w:tcW w:w="1523" w:type="dxa"/>
            <w:shd w:val="clear" w:color="auto" w:fill="auto"/>
            <w:vAlign w:val="center"/>
          </w:tcPr>
          <w:p w14:paraId="4C7DEDDE">
            <w:pPr>
              <w:pStyle w:val="178"/>
              <w:rPr>
                <w:rFonts w:ascii="Times New Roman"/>
              </w:rPr>
            </w:pPr>
            <w:r>
              <w:rPr>
                <w:rFonts w:ascii="Times New Roman"/>
              </w:rPr>
              <w:t>53994-73-3</w:t>
            </w:r>
          </w:p>
        </w:tc>
        <w:tc>
          <w:tcPr>
            <w:tcW w:w="1568" w:type="dxa"/>
            <w:vAlign w:val="center"/>
          </w:tcPr>
          <w:p w14:paraId="02CCAF4E">
            <w:pPr>
              <w:pStyle w:val="178"/>
              <w:rPr>
                <w:rFonts w:ascii="Times New Roman"/>
              </w:rPr>
            </w:pPr>
            <w:r>
              <w:rPr>
                <w:rFonts w:ascii="Times New Roman"/>
              </w:rPr>
              <w:t>367.81</w:t>
            </w:r>
          </w:p>
        </w:tc>
        <w:tc>
          <w:tcPr>
            <w:tcW w:w="1538" w:type="dxa"/>
          </w:tcPr>
          <w:p w14:paraId="26DF36F8">
            <w:pPr>
              <w:pStyle w:val="178"/>
              <w:rPr>
                <w:rFonts w:ascii="Times New Roman"/>
              </w:rPr>
            </w:pPr>
            <w:r>
              <w:rPr>
                <w:rFonts w:ascii="Times New Roman"/>
              </w:rPr>
              <w:drawing>
                <wp:inline distT="0" distB="0" distL="0" distR="0">
                  <wp:extent cx="762000" cy="466090"/>
                  <wp:effectExtent l="0" t="0" r="0" b="0"/>
                  <wp:docPr id="22" name="图片 22" descr="https://www.chemicalbook.com/CAS/GIF/53994-7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https://www.chemicalbook.com/CAS/GIF/53994-73-3.g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768179" cy="469766"/>
                          </a:xfrm>
                          <a:prstGeom prst="rect">
                            <a:avLst/>
                          </a:prstGeom>
                          <a:noFill/>
                          <a:ln>
                            <a:noFill/>
                          </a:ln>
                        </pic:spPr>
                      </pic:pic>
                    </a:graphicData>
                  </a:graphic>
                </wp:inline>
              </w:drawing>
            </w:r>
          </w:p>
        </w:tc>
      </w:tr>
      <w:tr w14:paraId="6B2830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747" w:type="dxa"/>
            <w:shd w:val="clear" w:color="auto" w:fill="auto"/>
            <w:vAlign w:val="center"/>
          </w:tcPr>
          <w:p w14:paraId="6097860A">
            <w:pPr>
              <w:pStyle w:val="178"/>
              <w:rPr>
                <w:rFonts w:ascii="Times New Roman"/>
              </w:rPr>
            </w:pPr>
            <w:r>
              <w:rPr>
                <w:rFonts w:ascii="Times New Roman"/>
              </w:rPr>
              <w:t>19</w:t>
            </w:r>
          </w:p>
        </w:tc>
        <w:tc>
          <w:tcPr>
            <w:tcW w:w="1617" w:type="dxa"/>
            <w:shd w:val="clear" w:color="auto" w:fill="auto"/>
            <w:vAlign w:val="center"/>
          </w:tcPr>
          <w:p w14:paraId="352A714F">
            <w:pPr>
              <w:pStyle w:val="178"/>
              <w:rPr>
                <w:rFonts w:ascii="Times New Roman"/>
              </w:rPr>
            </w:pPr>
            <w:r>
              <w:rPr>
                <w:rFonts w:ascii="Times New Roman"/>
              </w:rPr>
              <w:t>林可霉素</w:t>
            </w:r>
          </w:p>
        </w:tc>
        <w:tc>
          <w:tcPr>
            <w:tcW w:w="2381" w:type="dxa"/>
            <w:shd w:val="clear" w:color="auto" w:fill="auto"/>
            <w:vAlign w:val="center"/>
          </w:tcPr>
          <w:p w14:paraId="636D9233">
            <w:pPr>
              <w:pStyle w:val="178"/>
              <w:rPr>
                <w:rFonts w:ascii="Times New Roman"/>
              </w:rPr>
            </w:pPr>
            <w:r>
              <w:rPr>
                <w:rFonts w:ascii="Times New Roman"/>
              </w:rPr>
              <w:t>lincomycin</w:t>
            </w:r>
          </w:p>
        </w:tc>
        <w:tc>
          <w:tcPr>
            <w:tcW w:w="1523" w:type="dxa"/>
            <w:shd w:val="clear" w:color="auto" w:fill="auto"/>
            <w:vAlign w:val="center"/>
          </w:tcPr>
          <w:p w14:paraId="35C9167B">
            <w:pPr>
              <w:pStyle w:val="178"/>
              <w:rPr>
                <w:rFonts w:ascii="Times New Roman"/>
              </w:rPr>
            </w:pPr>
            <w:r>
              <w:rPr>
                <w:rFonts w:ascii="Times New Roman"/>
              </w:rPr>
              <w:t>154-21-2</w:t>
            </w:r>
          </w:p>
        </w:tc>
        <w:tc>
          <w:tcPr>
            <w:tcW w:w="1568" w:type="dxa"/>
            <w:vAlign w:val="center"/>
          </w:tcPr>
          <w:p w14:paraId="42163A3E">
            <w:pPr>
              <w:pStyle w:val="178"/>
              <w:rPr>
                <w:rFonts w:ascii="Times New Roman"/>
              </w:rPr>
            </w:pPr>
            <w:r>
              <w:rPr>
                <w:rFonts w:ascii="Times New Roman"/>
              </w:rPr>
              <w:t>406.54</w:t>
            </w:r>
          </w:p>
        </w:tc>
        <w:tc>
          <w:tcPr>
            <w:tcW w:w="1538" w:type="dxa"/>
          </w:tcPr>
          <w:p w14:paraId="492DDC8C">
            <w:pPr>
              <w:pStyle w:val="178"/>
              <w:rPr>
                <w:rFonts w:ascii="Times New Roman"/>
              </w:rPr>
            </w:pPr>
            <w:r>
              <w:rPr>
                <w:rFonts w:ascii="Times New Roman"/>
              </w:rPr>
              <w:drawing>
                <wp:inline distT="0" distB="0" distL="0" distR="0">
                  <wp:extent cx="854075" cy="561340"/>
                  <wp:effectExtent l="0" t="0" r="3175" b="0"/>
                  <wp:docPr id="23" name="图片 23" descr="https://www.chemicalbook.com/CAS/GIF/154-2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https://www.chemicalbook.com/CAS/GIF/154-21-2.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854427" cy="561843"/>
                          </a:xfrm>
                          <a:prstGeom prst="rect">
                            <a:avLst/>
                          </a:prstGeom>
                          <a:noFill/>
                          <a:ln>
                            <a:noFill/>
                          </a:ln>
                        </pic:spPr>
                      </pic:pic>
                    </a:graphicData>
                  </a:graphic>
                </wp:inline>
              </w:drawing>
            </w:r>
          </w:p>
        </w:tc>
      </w:tr>
    </w:tbl>
    <w:p w14:paraId="182C6DC8">
      <w:pPr>
        <w:pStyle w:val="56"/>
        <w:ind w:firstLine="420"/>
        <w:rPr>
          <w:rFonts w:ascii="Times New Roman"/>
        </w:rPr>
        <w:sectPr>
          <w:pgSz w:w="11906" w:h="16838"/>
          <w:pgMar w:top="1928" w:right="1134" w:bottom="1134" w:left="1134" w:header="1418" w:footer="1134" w:gutter="284"/>
          <w:cols w:space="425" w:num="1"/>
          <w:formProt w:val="0"/>
          <w:docGrid w:linePitch="312" w:charSpace="0"/>
        </w:sectPr>
      </w:pPr>
    </w:p>
    <w:p w14:paraId="49B8F077">
      <w:pPr>
        <w:pStyle w:val="198"/>
        <w:rPr>
          <w:rFonts w:ascii="Times New Roman" w:hAnsi="Times New Roman"/>
          <w:vanish w:val="0"/>
        </w:rPr>
      </w:pPr>
    </w:p>
    <w:p w14:paraId="39178FB0">
      <w:pPr>
        <w:pStyle w:val="199"/>
        <w:rPr>
          <w:rFonts w:ascii="Times New Roman"/>
          <w:vanish w:val="0"/>
        </w:rPr>
      </w:pPr>
    </w:p>
    <w:p w14:paraId="2B4F11E1">
      <w:pPr>
        <w:pStyle w:val="76"/>
        <w:spacing w:after="120"/>
        <w:rPr>
          <w:rFonts w:ascii="Times New Roman"/>
        </w:rPr>
      </w:pPr>
      <w:r>
        <w:rPr>
          <w:rFonts w:ascii="Times New Roman"/>
        </w:rPr>
        <w:br w:type="textWrapping"/>
      </w:r>
      <w:bookmarkStart w:id="125" w:name="_Toc201759945"/>
      <w:bookmarkStart w:id="126" w:name="_Toc201759961"/>
      <w:r>
        <w:rPr>
          <w:rFonts w:ascii="Times New Roman"/>
        </w:rPr>
        <w:t>（资料性）</w:t>
      </w:r>
      <w:r>
        <w:rPr>
          <w:rFonts w:ascii="Times New Roman"/>
        </w:rPr>
        <w:br w:type="textWrapping"/>
      </w:r>
      <w:r>
        <w:rPr>
          <w:rFonts w:ascii="Times New Roman"/>
        </w:rPr>
        <w:t>19种抗生素及内标的质谱参数和保留时间</w:t>
      </w:r>
      <w:bookmarkEnd w:id="125"/>
      <w:bookmarkEnd w:id="126"/>
    </w:p>
    <w:p w14:paraId="61F297B1">
      <w:pPr>
        <w:pStyle w:val="56"/>
        <w:ind w:firstLine="420"/>
        <w:rPr>
          <w:rFonts w:ascii="Times New Roman"/>
        </w:rPr>
      </w:pPr>
      <w:r>
        <w:rPr>
          <w:rFonts w:ascii="Times New Roman"/>
        </w:rPr>
        <w:t>19种抗生素和内标的质谱参数参考条件1如下：</w:t>
      </w:r>
    </w:p>
    <w:p w14:paraId="20C6F14B">
      <w:pPr>
        <w:pStyle w:val="187"/>
        <w:rPr>
          <w:rFonts w:ascii="Times New Roman"/>
        </w:rPr>
      </w:pPr>
      <w:r>
        <w:rPr>
          <w:rFonts w:ascii="Times New Roman"/>
        </w:rPr>
        <w:t>离子源温度：400</w:t>
      </w:r>
      <w:r>
        <w:rPr>
          <w:rFonts w:hint="eastAsia" w:hAnsi="宋体" w:cs="宋体"/>
        </w:rPr>
        <w:t>℃</w:t>
      </w:r>
      <w:r>
        <w:rPr>
          <w:rFonts w:ascii="Times New Roman"/>
        </w:rPr>
        <w:t>；</w:t>
      </w:r>
    </w:p>
    <w:p w14:paraId="38671CE5">
      <w:pPr>
        <w:pStyle w:val="187"/>
        <w:rPr>
          <w:rFonts w:ascii="Times New Roman"/>
        </w:rPr>
      </w:pPr>
      <w:r>
        <w:rPr>
          <w:rFonts w:ascii="Times New Roman"/>
        </w:rPr>
        <w:t>喷雾电压：5500V；</w:t>
      </w:r>
    </w:p>
    <w:p w14:paraId="390CAC2C">
      <w:pPr>
        <w:pStyle w:val="187"/>
        <w:rPr>
          <w:rFonts w:ascii="Times New Roman"/>
        </w:rPr>
      </w:pPr>
      <w:r>
        <w:rPr>
          <w:rFonts w:ascii="Times New Roman"/>
        </w:rPr>
        <w:t>碰撞气：High；</w:t>
      </w:r>
    </w:p>
    <w:p w14:paraId="4EF63E87">
      <w:pPr>
        <w:pStyle w:val="187"/>
        <w:rPr>
          <w:rFonts w:ascii="Times New Roman"/>
        </w:rPr>
      </w:pPr>
      <w:r>
        <w:rPr>
          <w:rFonts w:ascii="Times New Roman"/>
        </w:rPr>
        <w:t>气帘气：30psi；</w:t>
      </w:r>
    </w:p>
    <w:p w14:paraId="5ACE2136">
      <w:pPr>
        <w:pStyle w:val="187"/>
        <w:rPr>
          <w:rFonts w:ascii="Times New Roman"/>
        </w:rPr>
      </w:pPr>
      <w:r>
        <w:rPr>
          <w:rFonts w:ascii="Times New Roman"/>
        </w:rPr>
        <w:t>雾化气：30psi；</w:t>
      </w:r>
      <w:bookmarkStart w:id="127" w:name="_Hlk104839075"/>
    </w:p>
    <w:p w14:paraId="1C98D87C">
      <w:pPr>
        <w:pStyle w:val="187"/>
        <w:rPr>
          <w:rFonts w:ascii="Times New Roman"/>
        </w:rPr>
      </w:pPr>
      <w:r>
        <w:rPr>
          <w:rFonts w:ascii="Times New Roman"/>
        </w:rPr>
        <w:t>辅助气：50psi。</w:t>
      </w:r>
      <w:bookmarkEnd w:id="127"/>
    </w:p>
    <w:p w14:paraId="594354CD">
      <w:pPr>
        <w:pStyle w:val="56"/>
        <w:ind w:left="424" w:firstLine="0" w:firstLineChars="0"/>
        <w:rPr>
          <w:rFonts w:ascii="Times New Roman"/>
        </w:rPr>
      </w:pPr>
      <w:r>
        <w:rPr>
          <w:rFonts w:ascii="Times New Roman"/>
        </w:rPr>
        <w:t>19种抗生素和内标的质谱参数参考条件2如下：</w:t>
      </w:r>
    </w:p>
    <w:p w14:paraId="474F4BCA">
      <w:pPr>
        <w:pStyle w:val="187"/>
        <w:rPr>
          <w:rFonts w:ascii="Times New Roman"/>
        </w:rPr>
      </w:pPr>
      <w:r>
        <w:rPr>
          <w:rFonts w:ascii="Times New Roman"/>
        </w:rPr>
        <w:t>离子源温度：450</w:t>
      </w:r>
      <w:r>
        <w:rPr>
          <w:rFonts w:hint="eastAsia" w:hAnsi="宋体" w:cs="宋体"/>
        </w:rPr>
        <w:t>℃</w:t>
      </w:r>
      <w:r>
        <w:rPr>
          <w:rFonts w:ascii="Times New Roman"/>
        </w:rPr>
        <w:t>；</w:t>
      </w:r>
    </w:p>
    <w:p w14:paraId="3E639DD8">
      <w:pPr>
        <w:pStyle w:val="187"/>
        <w:rPr>
          <w:rFonts w:ascii="Times New Roman"/>
        </w:rPr>
      </w:pPr>
      <w:r>
        <w:rPr>
          <w:rFonts w:ascii="Times New Roman"/>
        </w:rPr>
        <w:t>毛细管电压：3.5kV；</w:t>
      </w:r>
    </w:p>
    <w:p w14:paraId="2C15922E">
      <w:pPr>
        <w:pStyle w:val="187"/>
        <w:rPr>
          <w:rFonts w:ascii="Times New Roman"/>
        </w:rPr>
      </w:pPr>
      <w:r>
        <w:rPr>
          <w:rFonts w:ascii="Times New Roman"/>
        </w:rPr>
        <w:t>脱溶剂气流量：900L/Hr。</w:t>
      </w:r>
    </w:p>
    <w:p w14:paraId="41C87864">
      <w:pPr>
        <w:pStyle w:val="174"/>
        <w:numPr>
          <w:ilvl w:val="0"/>
          <w:numId w:val="0"/>
        </w:numPr>
        <w:ind w:left="851" w:hanging="426"/>
        <w:rPr>
          <w:rFonts w:ascii="Times New Roman"/>
          <w:color w:val="000000" w:themeColor="text1"/>
          <w14:textFill>
            <w14:solidFill>
              <w14:schemeClr w14:val="tx1"/>
            </w14:solidFill>
          </w14:textFill>
        </w:rPr>
      </w:pPr>
      <w:r>
        <w:rPr>
          <w:rFonts w:ascii="Times New Roman"/>
          <w:color w:val="000000" w:themeColor="text1"/>
          <w14:textFill>
            <w14:solidFill>
              <w14:schemeClr w14:val="tx1"/>
            </w14:solidFill>
          </w14:textFill>
        </w:rPr>
        <w:t>各目标分析物及内标的离子对、碰撞电压及去簇电压等参数见表B.1。</w:t>
      </w:r>
    </w:p>
    <w:p w14:paraId="253E7023">
      <w:pPr>
        <w:pStyle w:val="77"/>
        <w:spacing w:before="120" w:after="120"/>
        <w:rPr>
          <w:rFonts w:ascii="Times New Roman"/>
        </w:rPr>
      </w:pPr>
      <w:r>
        <w:rPr>
          <w:rFonts w:ascii="Times New Roman"/>
        </w:rPr>
        <w:t>19种抗生素及内标的质谱参数和保留时间</w:t>
      </w:r>
    </w:p>
    <w:tbl>
      <w:tblPr>
        <w:tblStyle w:val="27"/>
        <w:tblW w:w="824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69"/>
        <w:gridCol w:w="1615"/>
        <w:gridCol w:w="845"/>
        <w:gridCol w:w="1134"/>
        <w:gridCol w:w="1417"/>
        <w:gridCol w:w="1134"/>
        <w:gridCol w:w="1426"/>
      </w:tblGrid>
      <w:tr w14:paraId="583980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1" w:hRule="atLeast"/>
          <w:tblHeader/>
          <w:jc w:val="center"/>
        </w:trPr>
        <w:tc>
          <w:tcPr>
            <w:tcW w:w="669" w:type="dxa"/>
            <w:tcBorders>
              <w:top w:val="single" w:color="auto" w:sz="8" w:space="0"/>
              <w:bottom w:val="single" w:color="auto" w:sz="8" w:space="0"/>
            </w:tcBorders>
            <w:shd w:val="clear" w:color="auto" w:fill="auto"/>
            <w:vAlign w:val="center"/>
          </w:tcPr>
          <w:p w14:paraId="1604E382">
            <w:pPr>
              <w:pStyle w:val="178"/>
              <w:rPr>
                <w:rFonts w:ascii="Times New Roman"/>
              </w:rPr>
            </w:pPr>
            <w:r>
              <w:rPr>
                <w:rFonts w:ascii="Times New Roman"/>
              </w:rPr>
              <w:t>序号</w:t>
            </w:r>
          </w:p>
        </w:tc>
        <w:tc>
          <w:tcPr>
            <w:tcW w:w="1615" w:type="dxa"/>
            <w:tcBorders>
              <w:top w:val="single" w:color="auto" w:sz="8" w:space="0"/>
              <w:bottom w:val="single" w:color="auto" w:sz="8" w:space="0"/>
            </w:tcBorders>
            <w:vAlign w:val="center"/>
          </w:tcPr>
          <w:p w14:paraId="059A5F94">
            <w:pPr>
              <w:pStyle w:val="178"/>
              <w:rPr>
                <w:rFonts w:ascii="Times New Roman"/>
              </w:rPr>
            </w:pPr>
            <w:r>
              <w:rPr>
                <w:rFonts w:ascii="Times New Roman"/>
              </w:rPr>
              <w:t>中文名</w:t>
            </w:r>
          </w:p>
        </w:tc>
        <w:tc>
          <w:tcPr>
            <w:tcW w:w="845" w:type="dxa"/>
            <w:tcBorders>
              <w:top w:val="single" w:color="auto" w:sz="8" w:space="0"/>
              <w:bottom w:val="single" w:color="auto" w:sz="8" w:space="0"/>
            </w:tcBorders>
            <w:shd w:val="clear" w:color="auto" w:fill="auto"/>
            <w:vAlign w:val="center"/>
          </w:tcPr>
          <w:p w14:paraId="58FF2001">
            <w:pPr>
              <w:pStyle w:val="178"/>
              <w:rPr>
                <w:rFonts w:ascii="Times New Roman"/>
              </w:rPr>
            </w:pPr>
            <w:r>
              <w:rPr>
                <w:rFonts w:ascii="Times New Roman"/>
              </w:rPr>
              <w:t>保留时间</w:t>
            </w:r>
          </w:p>
          <w:p w14:paraId="7B96F823">
            <w:pPr>
              <w:pStyle w:val="178"/>
              <w:rPr>
                <w:rFonts w:ascii="Times New Roman"/>
              </w:rPr>
            </w:pPr>
            <w:r>
              <w:rPr>
                <w:rFonts w:ascii="Times New Roman"/>
              </w:rPr>
              <w:t>min</w:t>
            </w:r>
          </w:p>
        </w:tc>
        <w:tc>
          <w:tcPr>
            <w:tcW w:w="1134" w:type="dxa"/>
            <w:tcBorders>
              <w:top w:val="single" w:color="auto" w:sz="8" w:space="0"/>
              <w:bottom w:val="single" w:color="auto" w:sz="8" w:space="0"/>
            </w:tcBorders>
            <w:shd w:val="clear" w:color="auto" w:fill="auto"/>
            <w:vAlign w:val="center"/>
          </w:tcPr>
          <w:p w14:paraId="2E3B5AC9">
            <w:pPr>
              <w:pStyle w:val="178"/>
              <w:rPr>
                <w:rFonts w:ascii="Times New Roman"/>
              </w:rPr>
            </w:pPr>
            <w:r>
              <w:rPr>
                <w:rFonts w:ascii="Times New Roman"/>
              </w:rPr>
              <w:t>母离子</w:t>
            </w:r>
          </w:p>
        </w:tc>
        <w:tc>
          <w:tcPr>
            <w:tcW w:w="1417" w:type="dxa"/>
            <w:tcBorders>
              <w:top w:val="single" w:color="auto" w:sz="8" w:space="0"/>
              <w:bottom w:val="single" w:color="auto" w:sz="8" w:space="0"/>
            </w:tcBorders>
            <w:shd w:val="clear" w:color="auto" w:fill="auto"/>
            <w:vAlign w:val="center"/>
          </w:tcPr>
          <w:p w14:paraId="3352FCCC">
            <w:pPr>
              <w:pStyle w:val="178"/>
              <w:rPr>
                <w:rFonts w:ascii="Times New Roman"/>
              </w:rPr>
            </w:pPr>
            <w:r>
              <w:rPr>
                <w:rFonts w:ascii="Times New Roman"/>
              </w:rPr>
              <w:t>子离子</w:t>
            </w:r>
          </w:p>
        </w:tc>
        <w:tc>
          <w:tcPr>
            <w:tcW w:w="1134" w:type="dxa"/>
            <w:tcBorders>
              <w:top w:val="single" w:color="auto" w:sz="8" w:space="0"/>
              <w:bottom w:val="single" w:color="auto" w:sz="8" w:space="0"/>
            </w:tcBorders>
            <w:shd w:val="clear" w:color="auto" w:fill="auto"/>
            <w:vAlign w:val="center"/>
          </w:tcPr>
          <w:p w14:paraId="7FE9BD06">
            <w:pPr>
              <w:pStyle w:val="178"/>
              <w:rPr>
                <w:rFonts w:ascii="Times New Roman"/>
              </w:rPr>
            </w:pPr>
            <w:r>
              <w:rPr>
                <w:rFonts w:ascii="Times New Roman"/>
              </w:rPr>
              <w:t>碰撞能量</w:t>
            </w:r>
          </w:p>
        </w:tc>
        <w:tc>
          <w:tcPr>
            <w:tcW w:w="1426" w:type="dxa"/>
            <w:tcBorders>
              <w:top w:val="single" w:color="auto" w:sz="8" w:space="0"/>
              <w:bottom w:val="single" w:color="auto" w:sz="8" w:space="0"/>
            </w:tcBorders>
            <w:vAlign w:val="center"/>
          </w:tcPr>
          <w:p w14:paraId="57780C90">
            <w:pPr>
              <w:pStyle w:val="178"/>
              <w:rPr>
                <w:rFonts w:ascii="Times New Roman"/>
              </w:rPr>
            </w:pPr>
            <w:r>
              <w:rPr>
                <w:rFonts w:ascii="Times New Roman"/>
              </w:rPr>
              <w:t>内标</w:t>
            </w:r>
          </w:p>
        </w:tc>
      </w:tr>
      <w:tr w14:paraId="7CCABE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1" w:hRule="atLeast"/>
          <w:jc w:val="center"/>
        </w:trPr>
        <w:tc>
          <w:tcPr>
            <w:tcW w:w="669" w:type="dxa"/>
            <w:tcBorders>
              <w:top w:val="single" w:color="auto" w:sz="8" w:space="0"/>
            </w:tcBorders>
            <w:shd w:val="clear" w:color="auto" w:fill="auto"/>
            <w:vAlign w:val="center"/>
          </w:tcPr>
          <w:p w14:paraId="065D7E93">
            <w:pPr>
              <w:pStyle w:val="178"/>
              <w:rPr>
                <w:rFonts w:ascii="Times New Roman"/>
              </w:rPr>
            </w:pPr>
            <w:r>
              <w:rPr>
                <w:rFonts w:ascii="Times New Roman"/>
              </w:rPr>
              <w:t>1</w:t>
            </w:r>
          </w:p>
        </w:tc>
        <w:tc>
          <w:tcPr>
            <w:tcW w:w="1615" w:type="dxa"/>
            <w:tcBorders>
              <w:top w:val="single" w:color="auto" w:sz="8" w:space="0"/>
            </w:tcBorders>
            <w:vAlign w:val="center"/>
          </w:tcPr>
          <w:p w14:paraId="26E77928">
            <w:pPr>
              <w:pStyle w:val="178"/>
              <w:rPr>
                <w:rFonts w:ascii="Times New Roman"/>
              </w:rPr>
            </w:pPr>
            <w:r>
              <w:rPr>
                <w:rFonts w:ascii="Times New Roman"/>
              </w:rPr>
              <w:t>阿奇霉素</w:t>
            </w:r>
          </w:p>
        </w:tc>
        <w:tc>
          <w:tcPr>
            <w:tcW w:w="845" w:type="dxa"/>
            <w:tcBorders>
              <w:top w:val="single" w:color="auto" w:sz="8" w:space="0"/>
            </w:tcBorders>
            <w:shd w:val="clear" w:color="auto" w:fill="auto"/>
            <w:vAlign w:val="center"/>
          </w:tcPr>
          <w:p w14:paraId="3575EE48">
            <w:pPr>
              <w:pStyle w:val="178"/>
              <w:rPr>
                <w:rFonts w:ascii="Times New Roman"/>
              </w:rPr>
            </w:pPr>
            <w:r>
              <w:rPr>
                <w:rFonts w:ascii="Times New Roman"/>
              </w:rPr>
              <w:t>8.35</w:t>
            </w:r>
          </w:p>
        </w:tc>
        <w:tc>
          <w:tcPr>
            <w:tcW w:w="1134" w:type="dxa"/>
            <w:tcBorders>
              <w:top w:val="single" w:color="auto" w:sz="8" w:space="0"/>
            </w:tcBorders>
            <w:shd w:val="clear" w:color="auto" w:fill="auto"/>
            <w:vAlign w:val="center"/>
          </w:tcPr>
          <w:p w14:paraId="5C727489">
            <w:pPr>
              <w:pStyle w:val="178"/>
              <w:rPr>
                <w:rFonts w:ascii="Times New Roman"/>
              </w:rPr>
            </w:pPr>
            <w:r>
              <w:rPr>
                <w:rFonts w:ascii="Times New Roman"/>
              </w:rPr>
              <w:t>749.7</w:t>
            </w:r>
          </w:p>
        </w:tc>
        <w:tc>
          <w:tcPr>
            <w:tcW w:w="1417" w:type="dxa"/>
            <w:tcBorders>
              <w:top w:val="single" w:color="auto" w:sz="8" w:space="0"/>
            </w:tcBorders>
            <w:shd w:val="clear" w:color="auto" w:fill="auto"/>
            <w:vAlign w:val="center"/>
          </w:tcPr>
          <w:p w14:paraId="661B8691">
            <w:pPr>
              <w:pStyle w:val="178"/>
              <w:rPr>
                <w:rFonts w:ascii="Times New Roman"/>
              </w:rPr>
            </w:pPr>
            <w:r>
              <w:rPr>
                <w:rFonts w:ascii="Times New Roman"/>
              </w:rPr>
              <w:t>591.3*</w:t>
            </w:r>
          </w:p>
          <w:p w14:paraId="37064B98">
            <w:pPr>
              <w:pStyle w:val="178"/>
              <w:rPr>
                <w:rFonts w:ascii="Times New Roman"/>
              </w:rPr>
            </w:pPr>
            <w:r>
              <w:rPr>
                <w:rFonts w:ascii="Times New Roman"/>
              </w:rPr>
              <w:t>573.5</w:t>
            </w:r>
          </w:p>
        </w:tc>
        <w:tc>
          <w:tcPr>
            <w:tcW w:w="1134" w:type="dxa"/>
            <w:tcBorders>
              <w:top w:val="single" w:color="auto" w:sz="8" w:space="0"/>
            </w:tcBorders>
            <w:shd w:val="clear" w:color="auto" w:fill="auto"/>
            <w:vAlign w:val="center"/>
          </w:tcPr>
          <w:p w14:paraId="29F0C4E2">
            <w:pPr>
              <w:pStyle w:val="178"/>
              <w:rPr>
                <w:rFonts w:ascii="Times New Roman"/>
              </w:rPr>
            </w:pPr>
            <w:r>
              <w:rPr>
                <w:rFonts w:ascii="Times New Roman"/>
              </w:rPr>
              <w:t>44</w:t>
            </w:r>
          </w:p>
          <w:p w14:paraId="5B410753">
            <w:pPr>
              <w:pStyle w:val="178"/>
              <w:rPr>
                <w:rFonts w:ascii="Times New Roman"/>
              </w:rPr>
            </w:pPr>
            <w:r>
              <w:rPr>
                <w:rFonts w:ascii="Times New Roman"/>
              </w:rPr>
              <w:t>48</w:t>
            </w:r>
          </w:p>
        </w:tc>
        <w:tc>
          <w:tcPr>
            <w:tcW w:w="1426" w:type="dxa"/>
            <w:tcBorders>
              <w:top w:val="single" w:color="auto" w:sz="8" w:space="0"/>
            </w:tcBorders>
            <w:vAlign w:val="center"/>
          </w:tcPr>
          <w:p w14:paraId="71CC9F88">
            <w:pPr>
              <w:pStyle w:val="178"/>
              <w:rPr>
                <w:rFonts w:ascii="Times New Roman"/>
              </w:rPr>
            </w:pPr>
            <w:r>
              <w:rPr>
                <w:rFonts w:ascii="Times New Roman"/>
              </w:rPr>
              <w:t>阿奇霉素-D</w:t>
            </w:r>
            <w:r>
              <w:rPr>
                <w:rFonts w:ascii="Times New Roman"/>
                <w:vertAlign w:val="subscript"/>
              </w:rPr>
              <w:t>3</w:t>
            </w:r>
          </w:p>
        </w:tc>
      </w:tr>
      <w:tr w14:paraId="710156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54CC4A60">
            <w:pPr>
              <w:pStyle w:val="178"/>
              <w:rPr>
                <w:rFonts w:ascii="Times New Roman"/>
              </w:rPr>
            </w:pPr>
            <w:r>
              <w:rPr>
                <w:rFonts w:ascii="Times New Roman"/>
              </w:rPr>
              <w:t>2</w:t>
            </w:r>
          </w:p>
        </w:tc>
        <w:tc>
          <w:tcPr>
            <w:tcW w:w="1615" w:type="dxa"/>
            <w:vAlign w:val="center"/>
          </w:tcPr>
          <w:p w14:paraId="409281C6">
            <w:pPr>
              <w:pStyle w:val="178"/>
              <w:rPr>
                <w:rFonts w:ascii="Times New Roman"/>
              </w:rPr>
            </w:pPr>
            <w:r>
              <w:rPr>
                <w:rFonts w:ascii="Times New Roman"/>
              </w:rPr>
              <w:t>克拉霉素</w:t>
            </w:r>
          </w:p>
        </w:tc>
        <w:tc>
          <w:tcPr>
            <w:tcW w:w="845" w:type="dxa"/>
            <w:shd w:val="clear" w:color="auto" w:fill="auto"/>
            <w:vAlign w:val="center"/>
          </w:tcPr>
          <w:p w14:paraId="7469D261">
            <w:pPr>
              <w:pStyle w:val="178"/>
              <w:rPr>
                <w:rFonts w:ascii="Times New Roman"/>
              </w:rPr>
            </w:pPr>
            <w:r>
              <w:rPr>
                <w:rFonts w:ascii="Times New Roman"/>
              </w:rPr>
              <w:t>12.55</w:t>
            </w:r>
          </w:p>
        </w:tc>
        <w:tc>
          <w:tcPr>
            <w:tcW w:w="1134" w:type="dxa"/>
            <w:shd w:val="clear" w:color="auto" w:fill="auto"/>
            <w:vAlign w:val="center"/>
          </w:tcPr>
          <w:p w14:paraId="6726797C">
            <w:pPr>
              <w:pStyle w:val="178"/>
              <w:rPr>
                <w:rFonts w:ascii="Times New Roman"/>
              </w:rPr>
            </w:pPr>
            <w:r>
              <w:rPr>
                <w:rFonts w:ascii="Times New Roman"/>
              </w:rPr>
              <w:t>748.6</w:t>
            </w:r>
          </w:p>
        </w:tc>
        <w:tc>
          <w:tcPr>
            <w:tcW w:w="1417" w:type="dxa"/>
            <w:shd w:val="clear" w:color="auto" w:fill="auto"/>
            <w:vAlign w:val="center"/>
          </w:tcPr>
          <w:p w14:paraId="4AD3D482">
            <w:pPr>
              <w:pStyle w:val="178"/>
              <w:rPr>
                <w:rFonts w:ascii="Times New Roman"/>
              </w:rPr>
            </w:pPr>
            <w:r>
              <w:rPr>
                <w:rFonts w:ascii="Times New Roman"/>
              </w:rPr>
              <w:t>158.2*</w:t>
            </w:r>
          </w:p>
          <w:p w14:paraId="042807AF">
            <w:pPr>
              <w:pStyle w:val="178"/>
              <w:rPr>
                <w:rFonts w:ascii="Times New Roman"/>
              </w:rPr>
            </w:pPr>
            <w:r>
              <w:rPr>
                <w:rFonts w:ascii="Times New Roman"/>
              </w:rPr>
              <w:t>59.03</w:t>
            </w:r>
          </w:p>
        </w:tc>
        <w:tc>
          <w:tcPr>
            <w:tcW w:w="1134" w:type="dxa"/>
            <w:shd w:val="clear" w:color="auto" w:fill="auto"/>
            <w:vAlign w:val="center"/>
          </w:tcPr>
          <w:p w14:paraId="6DCBB9E3">
            <w:pPr>
              <w:pStyle w:val="178"/>
              <w:rPr>
                <w:rFonts w:ascii="Times New Roman"/>
              </w:rPr>
            </w:pPr>
            <w:r>
              <w:rPr>
                <w:rFonts w:ascii="Times New Roman"/>
              </w:rPr>
              <w:t>34</w:t>
            </w:r>
          </w:p>
          <w:p w14:paraId="425AF9ED">
            <w:pPr>
              <w:pStyle w:val="178"/>
              <w:rPr>
                <w:rFonts w:ascii="Times New Roman"/>
              </w:rPr>
            </w:pPr>
            <w:r>
              <w:rPr>
                <w:rFonts w:ascii="Times New Roman"/>
              </w:rPr>
              <w:t>25</w:t>
            </w:r>
          </w:p>
        </w:tc>
        <w:tc>
          <w:tcPr>
            <w:tcW w:w="1426" w:type="dxa"/>
            <w:vAlign w:val="center"/>
          </w:tcPr>
          <w:p w14:paraId="6EFC10BC">
            <w:pPr>
              <w:jc w:val="center"/>
              <w:rPr>
                <w:rFonts w:ascii="Times New Roman" w:hAnsi="Times New Roman"/>
                <w:kern w:val="0"/>
                <w:sz w:val="18"/>
                <w:szCs w:val="20"/>
              </w:rPr>
            </w:pPr>
            <w:r>
              <w:rPr>
                <w:rFonts w:ascii="Times New Roman" w:hAnsi="Times New Roman"/>
                <w:kern w:val="0"/>
                <w:sz w:val="18"/>
                <w:szCs w:val="20"/>
              </w:rPr>
              <w:t>克拉霉素-</w:t>
            </w:r>
            <w:r>
              <w:rPr>
                <w:rFonts w:ascii="Times New Roman" w:hAnsi="Times New Roman"/>
                <w:kern w:val="0"/>
                <w:sz w:val="18"/>
                <w:szCs w:val="20"/>
                <w:vertAlign w:val="superscript"/>
              </w:rPr>
              <w:t>13</w:t>
            </w:r>
            <w:r>
              <w:rPr>
                <w:rFonts w:ascii="Times New Roman" w:hAnsi="Times New Roman"/>
                <w:kern w:val="0"/>
                <w:sz w:val="18"/>
                <w:szCs w:val="20"/>
              </w:rPr>
              <w:t>C，D</w:t>
            </w:r>
            <w:r>
              <w:rPr>
                <w:rFonts w:ascii="Times New Roman" w:hAnsi="Times New Roman"/>
                <w:kern w:val="0"/>
                <w:sz w:val="18"/>
                <w:szCs w:val="20"/>
                <w:vertAlign w:val="subscript"/>
              </w:rPr>
              <w:t>3</w:t>
            </w:r>
          </w:p>
        </w:tc>
      </w:tr>
      <w:tr w14:paraId="7113D9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4B98EBAF">
            <w:pPr>
              <w:pStyle w:val="178"/>
              <w:rPr>
                <w:rFonts w:ascii="Times New Roman"/>
              </w:rPr>
            </w:pPr>
            <w:r>
              <w:rPr>
                <w:rFonts w:ascii="Times New Roman"/>
              </w:rPr>
              <w:t>3</w:t>
            </w:r>
          </w:p>
        </w:tc>
        <w:tc>
          <w:tcPr>
            <w:tcW w:w="1615" w:type="dxa"/>
            <w:vAlign w:val="center"/>
          </w:tcPr>
          <w:p w14:paraId="698EA47F">
            <w:pPr>
              <w:pStyle w:val="178"/>
              <w:rPr>
                <w:rFonts w:ascii="Times New Roman"/>
              </w:rPr>
            </w:pPr>
            <w:r>
              <w:rPr>
                <w:rFonts w:ascii="Times New Roman"/>
              </w:rPr>
              <w:t>罗红霉素</w:t>
            </w:r>
          </w:p>
        </w:tc>
        <w:tc>
          <w:tcPr>
            <w:tcW w:w="845" w:type="dxa"/>
            <w:shd w:val="clear" w:color="auto" w:fill="auto"/>
            <w:vAlign w:val="center"/>
          </w:tcPr>
          <w:p w14:paraId="6F5785E6">
            <w:pPr>
              <w:pStyle w:val="178"/>
              <w:rPr>
                <w:rFonts w:ascii="Times New Roman"/>
              </w:rPr>
            </w:pPr>
            <w:r>
              <w:rPr>
                <w:rFonts w:ascii="Times New Roman"/>
              </w:rPr>
              <w:t>12.57</w:t>
            </w:r>
          </w:p>
        </w:tc>
        <w:tc>
          <w:tcPr>
            <w:tcW w:w="1134" w:type="dxa"/>
            <w:shd w:val="clear" w:color="auto" w:fill="auto"/>
            <w:vAlign w:val="center"/>
          </w:tcPr>
          <w:p w14:paraId="5866E665">
            <w:pPr>
              <w:pStyle w:val="178"/>
              <w:rPr>
                <w:rFonts w:ascii="Times New Roman"/>
              </w:rPr>
            </w:pPr>
            <w:r>
              <w:rPr>
                <w:rFonts w:ascii="Times New Roman"/>
              </w:rPr>
              <w:t>837.6</w:t>
            </w:r>
          </w:p>
        </w:tc>
        <w:tc>
          <w:tcPr>
            <w:tcW w:w="1417" w:type="dxa"/>
            <w:shd w:val="clear" w:color="auto" w:fill="auto"/>
            <w:vAlign w:val="center"/>
          </w:tcPr>
          <w:p w14:paraId="190186EB">
            <w:pPr>
              <w:pStyle w:val="178"/>
              <w:rPr>
                <w:rFonts w:ascii="Times New Roman"/>
              </w:rPr>
            </w:pPr>
            <w:r>
              <w:rPr>
                <w:rFonts w:ascii="Times New Roman"/>
              </w:rPr>
              <w:t>679.3*</w:t>
            </w:r>
          </w:p>
          <w:p w14:paraId="5B846F89">
            <w:pPr>
              <w:pStyle w:val="178"/>
              <w:rPr>
                <w:rFonts w:ascii="Times New Roman"/>
              </w:rPr>
            </w:pPr>
            <w:r>
              <w:rPr>
                <w:rFonts w:ascii="Times New Roman"/>
              </w:rPr>
              <w:t>158.1</w:t>
            </w:r>
          </w:p>
        </w:tc>
        <w:tc>
          <w:tcPr>
            <w:tcW w:w="1134" w:type="dxa"/>
            <w:shd w:val="clear" w:color="auto" w:fill="auto"/>
            <w:vAlign w:val="center"/>
          </w:tcPr>
          <w:p w14:paraId="4687F538">
            <w:pPr>
              <w:pStyle w:val="178"/>
              <w:rPr>
                <w:rFonts w:ascii="Times New Roman"/>
              </w:rPr>
            </w:pPr>
            <w:r>
              <w:rPr>
                <w:rFonts w:ascii="Times New Roman"/>
              </w:rPr>
              <w:t>30</w:t>
            </w:r>
          </w:p>
          <w:p w14:paraId="39BC4B4D">
            <w:pPr>
              <w:pStyle w:val="178"/>
              <w:rPr>
                <w:rFonts w:ascii="Times New Roman"/>
              </w:rPr>
            </w:pPr>
            <w:r>
              <w:rPr>
                <w:rFonts w:ascii="Times New Roman"/>
              </w:rPr>
              <w:t>43</w:t>
            </w:r>
          </w:p>
        </w:tc>
        <w:tc>
          <w:tcPr>
            <w:tcW w:w="1426" w:type="dxa"/>
            <w:vAlign w:val="center"/>
          </w:tcPr>
          <w:p w14:paraId="604827E2">
            <w:pPr>
              <w:jc w:val="center"/>
              <w:rPr>
                <w:rFonts w:ascii="Times New Roman" w:hAnsi="Times New Roman"/>
                <w:kern w:val="0"/>
                <w:sz w:val="18"/>
                <w:szCs w:val="20"/>
              </w:rPr>
            </w:pPr>
            <w:r>
              <w:rPr>
                <w:rFonts w:ascii="Times New Roman" w:hAnsi="Times New Roman"/>
                <w:kern w:val="0"/>
                <w:sz w:val="18"/>
                <w:szCs w:val="20"/>
              </w:rPr>
              <w:t>罗红霉素-D</w:t>
            </w:r>
            <w:r>
              <w:rPr>
                <w:rFonts w:ascii="Times New Roman" w:hAnsi="Times New Roman"/>
                <w:kern w:val="0"/>
                <w:sz w:val="18"/>
                <w:szCs w:val="20"/>
                <w:vertAlign w:val="subscript"/>
              </w:rPr>
              <w:t>7</w:t>
            </w:r>
          </w:p>
        </w:tc>
      </w:tr>
      <w:tr w14:paraId="46B1F8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1" w:hRule="atLeast"/>
          <w:jc w:val="center"/>
        </w:trPr>
        <w:tc>
          <w:tcPr>
            <w:tcW w:w="669" w:type="dxa"/>
            <w:shd w:val="clear" w:color="auto" w:fill="auto"/>
            <w:vAlign w:val="center"/>
          </w:tcPr>
          <w:p w14:paraId="20B4C657">
            <w:pPr>
              <w:pStyle w:val="178"/>
              <w:rPr>
                <w:rFonts w:ascii="Times New Roman"/>
              </w:rPr>
            </w:pPr>
            <w:r>
              <w:rPr>
                <w:rFonts w:ascii="Times New Roman"/>
              </w:rPr>
              <w:t>4</w:t>
            </w:r>
          </w:p>
        </w:tc>
        <w:tc>
          <w:tcPr>
            <w:tcW w:w="1615" w:type="dxa"/>
            <w:vAlign w:val="center"/>
          </w:tcPr>
          <w:p w14:paraId="11D24F35">
            <w:pPr>
              <w:pStyle w:val="178"/>
              <w:rPr>
                <w:rFonts w:ascii="Times New Roman"/>
              </w:rPr>
            </w:pPr>
            <w:r>
              <w:rPr>
                <w:rFonts w:ascii="Times New Roman"/>
              </w:rPr>
              <w:t>四环素</w:t>
            </w:r>
          </w:p>
        </w:tc>
        <w:tc>
          <w:tcPr>
            <w:tcW w:w="845" w:type="dxa"/>
            <w:shd w:val="clear" w:color="auto" w:fill="auto"/>
            <w:vAlign w:val="center"/>
          </w:tcPr>
          <w:p w14:paraId="7F60EA2F">
            <w:pPr>
              <w:pStyle w:val="178"/>
              <w:rPr>
                <w:rFonts w:ascii="Times New Roman"/>
              </w:rPr>
            </w:pPr>
            <w:r>
              <w:rPr>
                <w:rFonts w:ascii="Times New Roman"/>
              </w:rPr>
              <w:t>6.61</w:t>
            </w:r>
          </w:p>
        </w:tc>
        <w:tc>
          <w:tcPr>
            <w:tcW w:w="1134" w:type="dxa"/>
            <w:shd w:val="clear" w:color="auto" w:fill="auto"/>
            <w:vAlign w:val="center"/>
          </w:tcPr>
          <w:p w14:paraId="09946597">
            <w:pPr>
              <w:pStyle w:val="178"/>
              <w:rPr>
                <w:rFonts w:ascii="Times New Roman"/>
              </w:rPr>
            </w:pPr>
            <w:r>
              <w:rPr>
                <w:rFonts w:ascii="Times New Roman"/>
              </w:rPr>
              <w:t>445.2</w:t>
            </w:r>
          </w:p>
        </w:tc>
        <w:tc>
          <w:tcPr>
            <w:tcW w:w="1417" w:type="dxa"/>
            <w:shd w:val="clear" w:color="auto" w:fill="auto"/>
            <w:vAlign w:val="center"/>
          </w:tcPr>
          <w:p w14:paraId="2702B6E9">
            <w:pPr>
              <w:pStyle w:val="178"/>
              <w:rPr>
                <w:rFonts w:ascii="Times New Roman"/>
              </w:rPr>
            </w:pPr>
            <w:r>
              <w:rPr>
                <w:rFonts w:ascii="Times New Roman"/>
              </w:rPr>
              <w:t>154.0*</w:t>
            </w:r>
          </w:p>
          <w:p w14:paraId="39852456">
            <w:pPr>
              <w:pStyle w:val="178"/>
              <w:rPr>
                <w:rFonts w:ascii="Times New Roman"/>
              </w:rPr>
            </w:pPr>
            <w:r>
              <w:rPr>
                <w:rFonts w:ascii="Times New Roman"/>
              </w:rPr>
              <w:t>410.0</w:t>
            </w:r>
          </w:p>
        </w:tc>
        <w:tc>
          <w:tcPr>
            <w:tcW w:w="1134" w:type="dxa"/>
            <w:shd w:val="clear" w:color="auto" w:fill="auto"/>
            <w:vAlign w:val="center"/>
          </w:tcPr>
          <w:p w14:paraId="4C950961">
            <w:pPr>
              <w:pStyle w:val="178"/>
              <w:rPr>
                <w:rFonts w:ascii="Times New Roman"/>
              </w:rPr>
            </w:pPr>
            <w:r>
              <w:rPr>
                <w:rFonts w:ascii="Times New Roman"/>
              </w:rPr>
              <w:t>34</w:t>
            </w:r>
          </w:p>
          <w:p w14:paraId="4B08E50B">
            <w:pPr>
              <w:pStyle w:val="178"/>
              <w:rPr>
                <w:rFonts w:ascii="Times New Roman"/>
              </w:rPr>
            </w:pPr>
            <w:r>
              <w:rPr>
                <w:rFonts w:ascii="Times New Roman"/>
              </w:rPr>
              <w:t>27</w:t>
            </w:r>
          </w:p>
        </w:tc>
        <w:tc>
          <w:tcPr>
            <w:tcW w:w="1426" w:type="dxa"/>
            <w:vAlign w:val="center"/>
          </w:tcPr>
          <w:p w14:paraId="20F7371E">
            <w:pPr>
              <w:pStyle w:val="178"/>
              <w:rPr>
                <w:rFonts w:ascii="Times New Roman"/>
              </w:rPr>
            </w:pPr>
            <w:r>
              <w:rPr>
                <w:rFonts w:ascii="Times New Roman"/>
              </w:rPr>
              <w:t>四环素-D</w:t>
            </w:r>
            <w:r>
              <w:rPr>
                <w:rFonts w:ascii="Times New Roman"/>
                <w:vertAlign w:val="subscript"/>
              </w:rPr>
              <w:t>6</w:t>
            </w:r>
          </w:p>
        </w:tc>
      </w:tr>
      <w:tr w14:paraId="4155FF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05F9753F">
            <w:pPr>
              <w:pStyle w:val="178"/>
              <w:rPr>
                <w:rFonts w:ascii="Times New Roman"/>
              </w:rPr>
            </w:pPr>
            <w:r>
              <w:rPr>
                <w:rFonts w:ascii="Times New Roman"/>
              </w:rPr>
              <w:t>5</w:t>
            </w:r>
          </w:p>
        </w:tc>
        <w:tc>
          <w:tcPr>
            <w:tcW w:w="1615" w:type="dxa"/>
            <w:vAlign w:val="center"/>
          </w:tcPr>
          <w:p w14:paraId="4EDCC6E5">
            <w:pPr>
              <w:pStyle w:val="178"/>
              <w:rPr>
                <w:rFonts w:ascii="Times New Roman"/>
              </w:rPr>
            </w:pPr>
            <w:r>
              <w:rPr>
                <w:rFonts w:ascii="Times New Roman"/>
              </w:rPr>
              <w:t>强力霉素</w:t>
            </w:r>
          </w:p>
        </w:tc>
        <w:tc>
          <w:tcPr>
            <w:tcW w:w="845" w:type="dxa"/>
            <w:shd w:val="clear" w:color="auto" w:fill="auto"/>
            <w:vAlign w:val="center"/>
          </w:tcPr>
          <w:p w14:paraId="55DB717A">
            <w:pPr>
              <w:pStyle w:val="178"/>
              <w:rPr>
                <w:rFonts w:ascii="Times New Roman"/>
              </w:rPr>
            </w:pPr>
            <w:r>
              <w:rPr>
                <w:rFonts w:ascii="Times New Roman"/>
              </w:rPr>
              <w:t>9.33</w:t>
            </w:r>
          </w:p>
        </w:tc>
        <w:tc>
          <w:tcPr>
            <w:tcW w:w="1134" w:type="dxa"/>
            <w:shd w:val="clear" w:color="auto" w:fill="auto"/>
            <w:vAlign w:val="center"/>
          </w:tcPr>
          <w:p w14:paraId="4439DBF4">
            <w:pPr>
              <w:pStyle w:val="178"/>
              <w:rPr>
                <w:rFonts w:ascii="Times New Roman"/>
              </w:rPr>
            </w:pPr>
            <w:r>
              <w:rPr>
                <w:rFonts w:ascii="Times New Roman"/>
              </w:rPr>
              <w:t>445.2</w:t>
            </w:r>
          </w:p>
        </w:tc>
        <w:tc>
          <w:tcPr>
            <w:tcW w:w="1417" w:type="dxa"/>
            <w:shd w:val="clear" w:color="auto" w:fill="auto"/>
            <w:vAlign w:val="center"/>
          </w:tcPr>
          <w:p w14:paraId="08E7A1CC">
            <w:pPr>
              <w:pStyle w:val="178"/>
              <w:rPr>
                <w:rFonts w:ascii="Times New Roman"/>
              </w:rPr>
            </w:pPr>
            <w:r>
              <w:rPr>
                <w:rFonts w:ascii="Times New Roman"/>
              </w:rPr>
              <w:t>428.1*</w:t>
            </w:r>
          </w:p>
          <w:p w14:paraId="3BCAAB83">
            <w:pPr>
              <w:pStyle w:val="178"/>
              <w:rPr>
                <w:rFonts w:ascii="Times New Roman"/>
              </w:rPr>
            </w:pPr>
            <w:r>
              <w:rPr>
                <w:rFonts w:ascii="Times New Roman"/>
              </w:rPr>
              <w:t>410.1</w:t>
            </w:r>
          </w:p>
        </w:tc>
        <w:tc>
          <w:tcPr>
            <w:tcW w:w="1134" w:type="dxa"/>
            <w:shd w:val="clear" w:color="auto" w:fill="auto"/>
            <w:vAlign w:val="center"/>
          </w:tcPr>
          <w:p w14:paraId="115B48C4">
            <w:pPr>
              <w:pStyle w:val="178"/>
              <w:rPr>
                <w:rFonts w:ascii="Times New Roman"/>
              </w:rPr>
            </w:pPr>
            <w:r>
              <w:rPr>
                <w:rFonts w:ascii="Times New Roman"/>
              </w:rPr>
              <w:t>25</w:t>
            </w:r>
          </w:p>
          <w:p w14:paraId="60D89D1C">
            <w:pPr>
              <w:pStyle w:val="178"/>
              <w:rPr>
                <w:rFonts w:ascii="Times New Roman"/>
              </w:rPr>
            </w:pPr>
            <w:r>
              <w:rPr>
                <w:rFonts w:ascii="Times New Roman"/>
              </w:rPr>
              <w:t>35</w:t>
            </w:r>
          </w:p>
        </w:tc>
        <w:tc>
          <w:tcPr>
            <w:tcW w:w="1426" w:type="dxa"/>
            <w:vAlign w:val="center"/>
          </w:tcPr>
          <w:p w14:paraId="2706B051">
            <w:pPr>
              <w:pStyle w:val="178"/>
              <w:rPr>
                <w:rFonts w:ascii="Times New Roman"/>
              </w:rPr>
            </w:pPr>
            <w:r>
              <w:rPr>
                <w:rFonts w:ascii="Times New Roman"/>
              </w:rPr>
              <w:t>强力霉素-D</w:t>
            </w:r>
            <w:r>
              <w:rPr>
                <w:rFonts w:ascii="Times New Roman"/>
                <w:vertAlign w:val="subscript"/>
              </w:rPr>
              <w:t>3</w:t>
            </w:r>
          </w:p>
        </w:tc>
      </w:tr>
      <w:tr w14:paraId="357BC5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1" w:hRule="atLeast"/>
          <w:jc w:val="center"/>
        </w:trPr>
        <w:tc>
          <w:tcPr>
            <w:tcW w:w="669" w:type="dxa"/>
            <w:shd w:val="clear" w:color="auto" w:fill="auto"/>
            <w:vAlign w:val="center"/>
          </w:tcPr>
          <w:p w14:paraId="5CC71CEA">
            <w:pPr>
              <w:pStyle w:val="178"/>
              <w:rPr>
                <w:rFonts w:ascii="Times New Roman"/>
              </w:rPr>
            </w:pPr>
            <w:r>
              <w:rPr>
                <w:rFonts w:ascii="Times New Roman"/>
              </w:rPr>
              <w:t>6</w:t>
            </w:r>
          </w:p>
        </w:tc>
        <w:tc>
          <w:tcPr>
            <w:tcW w:w="1615" w:type="dxa"/>
            <w:vAlign w:val="center"/>
          </w:tcPr>
          <w:p w14:paraId="20485BE1">
            <w:pPr>
              <w:pStyle w:val="178"/>
              <w:rPr>
                <w:rFonts w:ascii="Times New Roman"/>
              </w:rPr>
            </w:pPr>
            <w:r>
              <w:rPr>
                <w:rFonts w:ascii="Times New Roman"/>
              </w:rPr>
              <w:t>土霉素</w:t>
            </w:r>
          </w:p>
        </w:tc>
        <w:tc>
          <w:tcPr>
            <w:tcW w:w="845" w:type="dxa"/>
            <w:shd w:val="clear" w:color="auto" w:fill="auto"/>
            <w:vAlign w:val="center"/>
          </w:tcPr>
          <w:p w14:paraId="4CF529F8">
            <w:pPr>
              <w:pStyle w:val="178"/>
              <w:rPr>
                <w:rFonts w:ascii="Times New Roman"/>
              </w:rPr>
            </w:pPr>
            <w:r>
              <w:rPr>
                <w:rFonts w:ascii="Times New Roman"/>
              </w:rPr>
              <w:t>6.00</w:t>
            </w:r>
          </w:p>
        </w:tc>
        <w:tc>
          <w:tcPr>
            <w:tcW w:w="1134" w:type="dxa"/>
            <w:shd w:val="clear" w:color="auto" w:fill="auto"/>
            <w:vAlign w:val="center"/>
          </w:tcPr>
          <w:p w14:paraId="156CB9D5">
            <w:pPr>
              <w:pStyle w:val="178"/>
              <w:rPr>
                <w:rFonts w:ascii="Times New Roman"/>
              </w:rPr>
            </w:pPr>
            <w:r>
              <w:rPr>
                <w:rFonts w:ascii="Times New Roman"/>
              </w:rPr>
              <w:t>461.1</w:t>
            </w:r>
          </w:p>
        </w:tc>
        <w:tc>
          <w:tcPr>
            <w:tcW w:w="1417" w:type="dxa"/>
            <w:shd w:val="clear" w:color="auto" w:fill="auto"/>
            <w:vAlign w:val="center"/>
          </w:tcPr>
          <w:p w14:paraId="26A74247">
            <w:pPr>
              <w:pStyle w:val="178"/>
              <w:rPr>
                <w:rFonts w:ascii="Times New Roman"/>
              </w:rPr>
            </w:pPr>
            <w:r>
              <w:rPr>
                <w:rFonts w:ascii="Times New Roman"/>
              </w:rPr>
              <w:t>426.0*</w:t>
            </w:r>
          </w:p>
          <w:p w14:paraId="34FD83E4">
            <w:pPr>
              <w:pStyle w:val="178"/>
              <w:rPr>
                <w:rFonts w:ascii="Times New Roman"/>
              </w:rPr>
            </w:pPr>
            <w:r>
              <w:rPr>
                <w:rFonts w:ascii="Times New Roman"/>
              </w:rPr>
              <w:t>443.1</w:t>
            </w:r>
          </w:p>
        </w:tc>
        <w:tc>
          <w:tcPr>
            <w:tcW w:w="1134" w:type="dxa"/>
            <w:shd w:val="clear" w:color="auto" w:fill="auto"/>
            <w:vAlign w:val="center"/>
          </w:tcPr>
          <w:p w14:paraId="3F5F5AD1">
            <w:pPr>
              <w:pStyle w:val="178"/>
              <w:rPr>
                <w:rFonts w:ascii="Times New Roman"/>
              </w:rPr>
            </w:pPr>
            <w:r>
              <w:rPr>
                <w:rFonts w:ascii="Times New Roman"/>
              </w:rPr>
              <w:t>26</w:t>
            </w:r>
          </w:p>
          <w:p w14:paraId="0BF67159">
            <w:pPr>
              <w:pStyle w:val="178"/>
              <w:rPr>
                <w:rFonts w:ascii="Times New Roman"/>
              </w:rPr>
            </w:pPr>
            <w:r>
              <w:rPr>
                <w:rFonts w:ascii="Times New Roman"/>
              </w:rPr>
              <w:t>18</w:t>
            </w:r>
          </w:p>
        </w:tc>
        <w:tc>
          <w:tcPr>
            <w:tcW w:w="1426" w:type="dxa"/>
            <w:vAlign w:val="center"/>
          </w:tcPr>
          <w:p w14:paraId="3819822C">
            <w:pPr>
              <w:pStyle w:val="178"/>
              <w:rPr>
                <w:rFonts w:ascii="Times New Roman"/>
              </w:rPr>
            </w:pPr>
            <w:r>
              <w:rPr>
                <w:rFonts w:ascii="Times New Roman"/>
              </w:rPr>
              <w:t>四环素-D</w:t>
            </w:r>
            <w:r>
              <w:rPr>
                <w:rFonts w:ascii="Times New Roman"/>
                <w:vertAlign w:val="subscript"/>
              </w:rPr>
              <w:t>6</w:t>
            </w:r>
          </w:p>
        </w:tc>
      </w:tr>
      <w:tr w14:paraId="37F4DE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7055CFE7">
            <w:pPr>
              <w:pStyle w:val="178"/>
              <w:rPr>
                <w:rFonts w:ascii="Times New Roman"/>
              </w:rPr>
            </w:pPr>
            <w:r>
              <w:rPr>
                <w:rFonts w:ascii="Times New Roman"/>
              </w:rPr>
              <w:t>7</w:t>
            </w:r>
          </w:p>
        </w:tc>
        <w:tc>
          <w:tcPr>
            <w:tcW w:w="1615" w:type="dxa"/>
            <w:vAlign w:val="center"/>
          </w:tcPr>
          <w:p w14:paraId="2B541A94">
            <w:pPr>
              <w:pStyle w:val="178"/>
              <w:rPr>
                <w:rFonts w:ascii="Times New Roman"/>
              </w:rPr>
            </w:pPr>
            <w:r>
              <w:rPr>
                <w:rFonts w:ascii="Times New Roman"/>
              </w:rPr>
              <w:t>恩诺沙星</w:t>
            </w:r>
          </w:p>
        </w:tc>
        <w:tc>
          <w:tcPr>
            <w:tcW w:w="845" w:type="dxa"/>
            <w:shd w:val="clear" w:color="auto" w:fill="auto"/>
            <w:vAlign w:val="center"/>
          </w:tcPr>
          <w:p w14:paraId="14828D74">
            <w:pPr>
              <w:pStyle w:val="178"/>
              <w:rPr>
                <w:rFonts w:ascii="Times New Roman"/>
              </w:rPr>
            </w:pPr>
            <w:r>
              <w:rPr>
                <w:rFonts w:ascii="Times New Roman"/>
              </w:rPr>
              <w:t>6.71</w:t>
            </w:r>
          </w:p>
        </w:tc>
        <w:tc>
          <w:tcPr>
            <w:tcW w:w="1134" w:type="dxa"/>
            <w:shd w:val="clear" w:color="auto" w:fill="auto"/>
            <w:vAlign w:val="center"/>
          </w:tcPr>
          <w:p w14:paraId="00985DAC">
            <w:pPr>
              <w:pStyle w:val="178"/>
              <w:rPr>
                <w:rFonts w:ascii="Times New Roman"/>
              </w:rPr>
            </w:pPr>
            <w:r>
              <w:rPr>
                <w:rFonts w:ascii="Times New Roman"/>
              </w:rPr>
              <w:t>360.2</w:t>
            </w:r>
          </w:p>
        </w:tc>
        <w:tc>
          <w:tcPr>
            <w:tcW w:w="1417" w:type="dxa"/>
            <w:shd w:val="clear" w:color="auto" w:fill="auto"/>
            <w:vAlign w:val="center"/>
          </w:tcPr>
          <w:p w14:paraId="0E44617F">
            <w:pPr>
              <w:pStyle w:val="178"/>
              <w:rPr>
                <w:rFonts w:ascii="Times New Roman"/>
              </w:rPr>
            </w:pPr>
            <w:r>
              <w:rPr>
                <w:rFonts w:ascii="Times New Roman"/>
              </w:rPr>
              <w:t>316.3*</w:t>
            </w:r>
          </w:p>
          <w:p w14:paraId="6F0FE968">
            <w:pPr>
              <w:pStyle w:val="178"/>
              <w:rPr>
                <w:rFonts w:ascii="Times New Roman"/>
              </w:rPr>
            </w:pPr>
            <w:r>
              <w:rPr>
                <w:rFonts w:ascii="Times New Roman"/>
              </w:rPr>
              <w:t>342.0</w:t>
            </w:r>
          </w:p>
        </w:tc>
        <w:tc>
          <w:tcPr>
            <w:tcW w:w="1134" w:type="dxa"/>
            <w:shd w:val="clear" w:color="auto" w:fill="auto"/>
            <w:vAlign w:val="center"/>
          </w:tcPr>
          <w:p w14:paraId="2BC75A40">
            <w:pPr>
              <w:pStyle w:val="178"/>
              <w:rPr>
                <w:rFonts w:ascii="Times New Roman"/>
              </w:rPr>
            </w:pPr>
            <w:r>
              <w:rPr>
                <w:rFonts w:ascii="Times New Roman"/>
              </w:rPr>
              <w:t>28</w:t>
            </w:r>
          </w:p>
          <w:p w14:paraId="31FF5167">
            <w:pPr>
              <w:pStyle w:val="178"/>
              <w:rPr>
                <w:rFonts w:ascii="Times New Roman"/>
              </w:rPr>
            </w:pPr>
            <w:r>
              <w:rPr>
                <w:rFonts w:ascii="Times New Roman"/>
              </w:rPr>
              <w:t>31</w:t>
            </w:r>
          </w:p>
        </w:tc>
        <w:tc>
          <w:tcPr>
            <w:tcW w:w="1426" w:type="dxa"/>
            <w:vAlign w:val="center"/>
          </w:tcPr>
          <w:p w14:paraId="4CE1F571">
            <w:pPr>
              <w:pStyle w:val="178"/>
              <w:rPr>
                <w:rFonts w:ascii="Times New Roman"/>
              </w:rPr>
            </w:pPr>
            <w:r>
              <w:rPr>
                <w:rFonts w:ascii="Times New Roman"/>
              </w:rPr>
              <w:t>恩诺沙星-D</w:t>
            </w:r>
            <w:r>
              <w:rPr>
                <w:rFonts w:ascii="Times New Roman"/>
                <w:vertAlign w:val="subscript"/>
              </w:rPr>
              <w:t>5</w:t>
            </w:r>
          </w:p>
        </w:tc>
      </w:tr>
      <w:tr w14:paraId="63DC0E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23F50F4F">
            <w:pPr>
              <w:pStyle w:val="178"/>
              <w:rPr>
                <w:rFonts w:ascii="Times New Roman"/>
              </w:rPr>
            </w:pPr>
            <w:r>
              <w:rPr>
                <w:rFonts w:ascii="Times New Roman"/>
              </w:rPr>
              <w:t>8</w:t>
            </w:r>
          </w:p>
        </w:tc>
        <w:tc>
          <w:tcPr>
            <w:tcW w:w="1615" w:type="dxa"/>
            <w:vAlign w:val="center"/>
          </w:tcPr>
          <w:p w14:paraId="0E1B0F80">
            <w:pPr>
              <w:pStyle w:val="178"/>
              <w:rPr>
                <w:rFonts w:ascii="Times New Roman"/>
              </w:rPr>
            </w:pPr>
            <w:r>
              <w:rPr>
                <w:rFonts w:ascii="Times New Roman"/>
              </w:rPr>
              <w:t>培氟沙星</w:t>
            </w:r>
          </w:p>
        </w:tc>
        <w:tc>
          <w:tcPr>
            <w:tcW w:w="845" w:type="dxa"/>
            <w:shd w:val="clear" w:color="auto" w:fill="auto"/>
            <w:vAlign w:val="center"/>
          </w:tcPr>
          <w:p w14:paraId="73B7447B">
            <w:pPr>
              <w:pStyle w:val="178"/>
              <w:rPr>
                <w:rFonts w:ascii="Times New Roman"/>
              </w:rPr>
            </w:pPr>
            <w:r>
              <w:rPr>
                <w:rFonts w:ascii="Times New Roman"/>
              </w:rPr>
              <w:t>5.98</w:t>
            </w:r>
          </w:p>
        </w:tc>
        <w:tc>
          <w:tcPr>
            <w:tcW w:w="1134" w:type="dxa"/>
            <w:shd w:val="clear" w:color="auto" w:fill="auto"/>
            <w:vAlign w:val="center"/>
          </w:tcPr>
          <w:p w14:paraId="6A588555">
            <w:pPr>
              <w:pStyle w:val="178"/>
              <w:rPr>
                <w:rFonts w:ascii="Times New Roman"/>
              </w:rPr>
            </w:pPr>
            <w:r>
              <w:rPr>
                <w:rFonts w:ascii="Times New Roman"/>
              </w:rPr>
              <w:t>334.1</w:t>
            </w:r>
          </w:p>
        </w:tc>
        <w:tc>
          <w:tcPr>
            <w:tcW w:w="1417" w:type="dxa"/>
            <w:shd w:val="clear" w:color="auto" w:fill="auto"/>
            <w:vAlign w:val="center"/>
          </w:tcPr>
          <w:p w14:paraId="366ABB6E">
            <w:pPr>
              <w:pStyle w:val="178"/>
              <w:rPr>
                <w:rFonts w:ascii="Times New Roman"/>
              </w:rPr>
            </w:pPr>
            <w:r>
              <w:rPr>
                <w:rFonts w:ascii="Times New Roman"/>
              </w:rPr>
              <w:t>233.0*</w:t>
            </w:r>
          </w:p>
          <w:p w14:paraId="2314E033">
            <w:pPr>
              <w:pStyle w:val="178"/>
              <w:rPr>
                <w:rFonts w:ascii="Times New Roman"/>
              </w:rPr>
            </w:pPr>
            <w:r>
              <w:rPr>
                <w:rFonts w:ascii="Times New Roman"/>
              </w:rPr>
              <w:t>290.1</w:t>
            </w:r>
          </w:p>
        </w:tc>
        <w:tc>
          <w:tcPr>
            <w:tcW w:w="1134" w:type="dxa"/>
            <w:shd w:val="clear" w:color="auto" w:fill="auto"/>
            <w:vAlign w:val="center"/>
          </w:tcPr>
          <w:p w14:paraId="1379E87E">
            <w:pPr>
              <w:pStyle w:val="178"/>
              <w:rPr>
                <w:rFonts w:ascii="Times New Roman"/>
              </w:rPr>
            </w:pPr>
            <w:r>
              <w:rPr>
                <w:rFonts w:ascii="Times New Roman"/>
              </w:rPr>
              <w:t>32</w:t>
            </w:r>
          </w:p>
          <w:p w14:paraId="22382DB9">
            <w:pPr>
              <w:pStyle w:val="178"/>
              <w:rPr>
                <w:rFonts w:ascii="Times New Roman"/>
              </w:rPr>
            </w:pPr>
            <w:r>
              <w:rPr>
                <w:rFonts w:ascii="Times New Roman"/>
              </w:rPr>
              <w:t>26</w:t>
            </w:r>
          </w:p>
        </w:tc>
        <w:tc>
          <w:tcPr>
            <w:tcW w:w="1426" w:type="dxa"/>
            <w:vAlign w:val="center"/>
          </w:tcPr>
          <w:p w14:paraId="114F0C80">
            <w:pPr>
              <w:pStyle w:val="178"/>
              <w:rPr>
                <w:rFonts w:ascii="Times New Roman"/>
              </w:rPr>
            </w:pPr>
            <w:r>
              <w:rPr>
                <w:rFonts w:ascii="Times New Roman"/>
              </w:rPr>
              <w:t>培氟沙星-D</w:t>
            </w:r>
            <w:r>
              <w:rPr>
                <w:rFonts w:ascii="Times New Roman"/>
                <w:vertAlign w:val="subscript"/>
              </w:rPr>
              <w:t>3</w:t>
            </w:r>
          </w:p>
        </w:tc>
      </w:tr>
      <w:tr w14:paraId="5433C8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1" w:hRule="atLeast"/>
          <w:jc w:val="center"/>
        </w:trPr>
        <w:tc>
          <w:tcPr>
            <w:tcW w:w="669" w:type="dxa"/>
            <w:shd w:val="clear" w:color="auto" w:fill="auto"/>
            <w:vAlign w:val="center"/>
          </w:tcPr>
          <w:p w14:paraId="5897533C">
            <w:pPr>
              <w:pStyle w:val="178"/>
              <w:rPr>
                <w:rFonts w:ascii="Times New Roman"/>
              </w:rPr>
            </w:pPr>
            <w:r>
              <w:rPr>
                <w:rFonts w:ascii="Times New Roman"/>
              </w:rPr>
              <w:t>9</w:t>
            </w:r>
          </w:p>
        </w:tc>
        <w:tc>
          <w:tcPr>
            <w:tcW w:w="1615" w:type="dxa"/>
            <w:vAlign w:val="center"/>
          </w:tcPr>
          <w:p w14:paraId="57DCDEB0">
            <w:pPr>
              <w:pStyle w:val="178"/>
              <w:rPr>
                <w:rFonts w:ascii="Times New Roman"/>
              </w:rPr>
            </w:pPr>
            <w:r>
              <w:rPr>
                <w:rFonts w:ascii="Times New Roman"/>
              </w:rPr>
              <w:t>二氟沙星</w:t>
            </w:r>
          </w:p>
        </w:tc>
        <w:tc>
          <w:tcPr>
            <w:tcW w:w="845" w:type="dxa"/>
            <w:shd w:val="clear" w:color="auto" w:fill="auto"/>
            <w:vAlign w:val="center"/>
          </w:tcPr>
          <w:p w14:paraId="4E6BEC56">
            <w:pPr>
              <w:pStyle w:val="178"/>
              <w:rPr>
                <w:rFonts w:ascii="Times New Roman"/>
              </w:rPr>
            </w:pPr>
            <w:r>
              <w:rPr>
                <w:rFonts w:ascii="Times New Roman"/>
              </w:rPr>
              <w:t>7.76</w:t>
            </w:r>
          </w:p>
        </w:tc>
        <w:tc>
          <w:tcPr>
            <w:tcW w:w="1134" w:type="dxa"/>
            <w:shd w:val="clear" w:color="auto" w:fill="auto"/>
            <w:vAlign w:val="center"/>
          </w:tcPr>
          <w:p w14:paraId="6C89F5EF">
            <w:pPr>
              <w:pStyle w:val="178"/>
              <w:rPr>
                <w:rFonts w:ascii="Times New Roman"/>
              </w:rPr>
            </w:pPr>
            <w:r>
              <w:rPr>
                <w:rFonts w:ascii="Times New Roman"/>
              </w:rPr>
              <w:t>400.2</w:t>
            </w:r>
          </w:p>
        </w:tc>
        <w:tc>
          <w:tcPr>
            <w:tcW w:w="1417" w:type="dxa"/>
            <w:shd w:val="clear" w:color="auto" w:fill="auto"/>
            <w:vAlign w:val="center"/>
          </w:tcPr>
          <w:p w14:paraId="66B9E361">
            <w:pPr>
              <w:pStyle w:val="178"/>
              <w:rPr>
                <w:rFonts w:ascii="Times New Roman"/>
              </w:rPr>
            </w:pPr>
            <w:r>
              <w:rPr>
                <w:rFonts w:ascii="Times New Roman"/>
              </w:rPr>
              <w:t>356.1*</w:t>
            </w:r>
          </w:p>
          <w:p w14:paraId="5F15C770">
            <w:pPr>
              <w:pStyle w:val="178"/>
              <w:rPr>
                <w:rFonts w:ascii="Times New Roman"/>
              </w:rPr>
            </w:pPr>
            <w:r>
              <w:rPr>
                <w:rFonts w:ascii="Times New Roman"/>
              </w:rPr>
              <w:t>299.0</w:t>
            </w:r>
          </w:p>
        </w:tc>
        <w:tc>
          <w:tcPr>
            <w:tcW w:w="1134" w:type="dxa"/>
            <w:shd w:val="clear" w:color="auto" w:fill="auto"/>
            <w:vAlign w:val="center"/>
          </w:tcPr>
          <w:p w14:paraId="574F05C4">
            <w:pPr>
              <w:pStyle w:val="178"/>
              <w:rPr>
                <w:rFonts w:ascii="Times New Roman"/>
              </w:rPr>
            </w:pPr>
            <w:r>
              <w:rPr>
                <w:rFonts w:ascii="Times New Roman"/>
              </w:rPr>
              <w:t>25</w:t>
            </w:r>
          </w:p>
          <w:p w14:paraId="28A6AEBE">
            <w:pPr>
              <w:pStyle w:val="178"/>
              <w:rPr>
                <w:rFonts w:ascii="Times New Roman"/>
              </w:rPr>
            </w:pPr>
            <w:r>
              <w:rPr>
                <w:rFonts w:ascii="Times New Roman"/>
              </w:rPr>
              <w:t>35</w:t>
            </w:r>
          </w:p>
        </w:tc>
        <w:tc>
          <w:tcPr>
            <w:tcW w:w="1426" w:type="dxa"/>
            <w:vAlign w:val="center"/>
          </w:tcPr>
          <w:p w14:paraId="46EF2C8A">
            <w:pPr>
              <w:pStyle w:val="178"/>
              <w:rPr>
                <w:rFonts w:ascii="Times New Roman"/>
              </w:rPr>
            </w:pPr>
            <w:r>
              <w:rPr>
                <w:rFonts w:ascii="Times New Roman"/>
              </w:rPr>
              <w:t>二氟沙星-D</w:t>
            </w:r>
            <w:r>
              <w:rPr>
                <w:rFonts w:ascii="Times New Roman"/>
                <w:vertAlign w:val="subscript"/>
              </w:rPr>
              <w:t>3</w:t>
            </w:r>
          </w:p>
        </w:tc>
      </w:tr>
      <w:tr w14:paraId="708B1C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78C1296E">
            <w:pPr>
              <w:pStyle w:val="178"/>
              <w:rPr>
                <w:rFonts w:ascii="Times New Roman"/>
              </w:rPr>
            </w:pPr>
            <w:r>
              <w:rPr>
                <w:rFonts w:ascii="Times New Roman"/>
              </w:rPr>
              <w:t>10</w:t>
            </w:r>
          </w:p>
        </w:tc>
        <w:tc>
          <w:tcPr>
            <w:tcW w:w="1615" w:type="dxa"/>
            <w:vAlign w:val="center"/>
          </w:tcPr>
          <w:p w14:paraId="3EA7148B">
            <w:pPr>
              <w:pStyle w:val="178"/>
              <w:rPr>
                <w:rFonts w:ascii="Times New Roman"/>
              </w:rPr>
            </w:pPr>
            <w:r>
              <w:rPr>
                <w:rFonts w:ascii="Times New Roman"/>
              </w:rPr>
              <w:t>洛美沙星</w:t>
            </w:r>
          </w:p>
        </w:tc>
        <w:tc>
          <w:tcPr>
            <w:tcW w:w="845" w:type="dxa"/>
            <w:shd w:val="clear" w:color="auto" w:fill="auto"/>
            <w:vAlign w:val="center"/>
          </w:tcPr>
          <w:p w14:paraId="357C4BEE">
            <w:pPr>
              <w:pStyle w:val="178"/>
              <w:rPr>
                <w:rFonts w:ascii="Times New Roman"/>
              </w:rPr>
            </w:pPr>
            <w:r>
              <w:rPr>
                <w:rFonts w:ascii="Times New Roman"/>
              </w:rPr>
              <w:t>6.41</w:t>
            </w:r>
          </w:p>
        </w:tc>
        <w:tc>
          <w:tcPr>
            <w:tcW w:w="1134" w:type="dxa"/>
            <w:shd w:val="clear" w:color="auto" w:fill="auto"/>
            <w:vAlign w:val="center"/>
          </w:tcPr>
          <w:p w14:paraId="6C9625F2">
            <w:pPr>
              <w:pStyle w:val="178"/>
              <w:rPr>
                <w:rFonts w:ascii="Times New Roman"/>
              </w:rPr>
            </w:pPr>
            <w:r>
              <w:rPr>
                <w:rFonts w:ascii="Times New Roman"/>
              </w:rPr>
              <w:t>352.2</w:t>
            </w:r>
          </w:p>
        </w:tc>
        <w:tc>
          <w:tcPr>
            <w:tcW w:w="1417" w:type="dxa"/>
            <w:shd w:val="clear" w:color="auto" w:fill="auto"/>
            <w:vAlign w:val="center"/>
          </w:tcPr>
          <w:p w14:paraId="18FF96C2">
            <w:pPr>
              <w:pStyle w:val="178"/>
              <w:rPr>
                <w:rFonts w:ascii="Times New Roman"/>
              </w:rPr>
            </w:pPr>
            <w:r>
              <w:rPr>
                <w:rFonts w:ascii="Times New Roman"/>
              </w:rPr>
              <w:t>265.1*</w:t>
            </w:r>
          </w:p>
          <w:p w14:paraId="3F38E04B">
            <w:pPr>
              <w:pStyle w:val="178"/>
              <w:rPr>
                <w:rFonts w:ascii="Times New Roman"/>
              </w:rPr>
            </w:pPr>
            <w:r>
              <w:rPr>
                <w:rFonts w:ascii="Times New Roman"/>
              </w:rPr>
              <w:t>308.1</w:t>
            </w:r>
          </w:p>
        </w:tc>
        <w:tc>
          <w:tcPr>
            <w:tcW w:w="1134" w:type="dxa"/>
            <w:shd w:val="clear" w:color="auto" w:fill="auto"/>
            <w:vAlign w:val="center"/>
          </w:tcPr>
          <w:p w14:paraId="057BDDDA">
            <w:pPr>
              <w:pStyle w:val="178"/>
              <w:rPr>
                <w:rFonts w:ascii="Times New Roman"/>
              </w:rPr>
            </w:pPr>
            <w:r>
              <w:rPr>
                <w:rFonts w:ascii="Times New Roman"/>
              </w:rPr>
              <w:t>29</w:t>
            </w:r>
          </w:p>
          <w:p w14:paraId="1AB0FB62">
            <w:pPr>
              <w:pStyle w:val="178"/>
              <w:rPr>
                <w:rFonts w:ascii="Times New Roman"/>
              </w:rPr>
            </w:pPr>
            <w:r>
              <w:rPr>
                <w:rFonts w:ascii="Times New Roman"/>
              </w:rPr>
              <w:t>23</w:t>
            </w:r>
          </w:p>
        </w:tc>
        <w:tc>
          <w:tcPr>
            <w:tcW w:w="1426" w:type="dxa"/>
            <w:vAlign w:val="center"/>
          </w:tcPr>
          <w:p w14:paraId="7FF7900F">
            <w:pPr>
              <w:pStyle w:val="178"/>
              <w:rPr>
                <w:rFonts w:ascii="Times New Roman"/>
              </w:rPr>
            </w:pPr>
            <w:r>
              <w:rPr>
                <w:rFonts w:ascii="Times New Roman"/>
              </w:rPr>
              <w:t>洛美沙星-D</w:t>
            </w:r>
            <w:r>
              <w:rPr>
                <w:rFonts w:ascii="Times New Roman"/>
                <w:vertAlign w:val="subscript"/>
              </w:rPr>
              <w:t>5</w:t>
            </w:r>
          </w:p>
        </w:tc>
      </w:tr>
      <w:tr w14:paraId="7CE959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48170F37">
            <w:pPr>
              <w:pStyle w:val="178"/>
              <w:rPr>
                <w:rFonts w:ascii="Times New Roman"/>
              </w:rPr>
            </w:pPr>
            <w:r>
              <w:rPr>
                <w:rFonts w:ascii="Times New Roman"/>
              </w:rPr>
              <w:t>11</w:t>
            </w:r>
          </w:p>
        </w:tc>
        <w:tc>
          <w:tcPr>
            <w:tcW w:w="1615" w:type="dxa"/>
            <w:vAlign w:val="center"/>
          </w:tcPr>
          <w:p w14:paraId="2DD2C38E">
            <w:pPr>
              <w:pStyle w:val="178"/>
              <w:rPr>
                <w:rFonts w:ascii="Times New Roman"/>
              </w:rPr>
            </w:pPr>
            <w:r>
              <w:rPr>
                <w:rFonts w:ascii="Times New Roman"/>
              </w:rPr>
              <w:t>磺胺二甲嘧啶</w:t>
            </w:r>
          </w:p>
        </w:tc>
        <w:tc>
          <w:tcPr>
            <w:tcW w:w="845" w:type="dxa"/>
            <w:shd w:val="clear" w:color="auto" w:fill="auto"/>
            <w:vAlign w:val="center"/>
          </w:tcPr>
          <w:p w14:paraId="072A1B3D">
            <w:pPr>
              <w:pStyle w:val="178"/>
              <w:rPr>
                <w:rFonts w:ascii="Times New Roman"/>
              </w:rPr>
            </w:pPr>
            <w:r>
              <w:rPr>
                <w:rFonts w:ascii="Times New Roman"/>
              </w:rPr>
              <w:t>7.19</w:t>
            </w:r>
          </w:p>
        </w:tc>
        <w:tc>
          <w:tcPr>
            <w:tcW w:w="1134" w:type="dxa"/>
            <w:shd w:val="clear" w:color="auto" w:fill="auto"/>
            <w:vAlign w:val="center"/>
          </w:tcPr>
          <w:p w14:paraId="00919F9D">
            <w:pPr>
              <w:pStyle w:val="178"/>
              <w:rPr>
                <w:rFonts w:ascii="Times New Roman"/>
              </w:rPr>
            </w:pPr>
            <w:r>
              <w:rPr>
                <w:rFonts w:ascii="Times New Roman"/>
              </w:rPr>
              <w:t>278.9</w:t>
            </w:r>
          </w:p>
        </w:tc>
        <w:tc>
          <w:tcPr>
            <w:tcW w:w="1417" w:type="dxa"/>
            <w:shd w:val="clear" w:color="auto" w:fill="auto"/>
            <w:vAlign w:val="center"/>
          </w:tcPr>
          <w:p w14:paraId="3ED890C6">
            <w:pPr>
              <w:pStyle w:val="178"/>
              <w:rPr>
                <w:rFonts w:ascii="Times New Roman"/>
              </w:rPr>
            </w:pPr>
            <w:r>
              <w:rPr>
                <w:rFonts w:ascii="Times New Roman"/>
              </w:rPr>
              <w:t>186.2*</w:t>
            </w:r>
          </w:p>
          <w:p w14:paraId="725615C5">
            <w:pPr>
              <w:pStyle w:val="178"/>
              <w:rPr>
                <w:rFonts w:ascii="Times New Roman"/>
              </w:rPr>
            </w:pPr>
            <w:r>
              <w:rPr>
                <w:rFonts w:ascii="Times New Roman"/>
              </w:rPr>
              <w:t>156.2</w:t>
            </w:r>
          </w:p>
        </w:tc>
        <w:tc>
          <w:tcPr>
            <w:tcW w:w="1134" w:type="dxa"/>
            <w:shd w:val="clear" w:color="auto" w:fill="auto"/>
            <w:vAlign w:val="center"/>
          </w:tcPr>
          <w:p w14:paraId="484A32E2">
            <w:pPr>
              <w:pStyle w:val="178"/>
              <w:rPr>
                <w:rFonts w:ascii="Times New Roman"/>
              </w:rPr>
            </w:pPr>
            <w:r>
              <w:rPr>
                <w:rFonts w:ascii="Times New Roman"/>
              </w:rPr>
              <w:t>31</w:t>
            </w:r>
          </w:p>
          <w:p w14:paraId="1BD83601">
            <w:pPr>
              <w:pStyle w:val="178"/>
              <w:rPr>
                <w:rFonts w:ascii="Times New Roman"/>
              </w:rPr>
            </w:pPr>
            <w:r>
              <w:rPr>
                <w:rFonts w:ascii="Times New Roman"/>
              </w:rPr>
              <w:t>31</w:t>
            </w:r>
          </w:p>
        </w:tc>
        <w:tc>
          <w:tcPr>
            <w:tcW w:w="1426" w:type="dxa"/>
            <w:vAlign w:val="center"/>
          </w:tcPr>
          <w:p w14:paraId="5C46D94F">
            <w:pPr>
              <w:pStyle w:val="178"/>
              <w:rPr>
                <w:rFonts w:ascii="Times New Roman"/>
              </w:rPr>
            </w:pPr>
            <w:r>
              <w:rPr>
                <w:rFonts w:ascii="Times New Roman"/>
              </w:rPr>
              <w:t>磺胺二甲嘧啶-D</w:t>
            </w:r>
            <w:r>
              <w:rPr>
                <w:rFonts w:ascii="Times New Roman"/>
                <w:vertAlign w:val="subscript"/>
              </w:rPr>
              <w:t>4</w:t>
            </w:r>
          </w:p>
        </w:tc>
      </w:tr>
      <w:tr w14:paraId="00451B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1" w:hRule="atLeast"/>
          <w:jc w:val="center"/>
        </w:trPr>
        <w:tc>
          <w:tcPr>
            <w:tcW w:w="669" w:type="dxa"/>
            <w:shd w:val="clear" w:color="auto" w:fill="auto"/>
            <w:vAlign w:val="center"/>
          </w:tcPr>
          <w:p w14:paraId="79F4A06F">
            <w:pPr>
              <w:pStyle w:val="178"/>
              <w:rPr>
                <w:rFonts w:ascii="Times New Roman"/>
              </w:rPr>
            </w:pPr>
            <w:r>
              <w:rPr>
                <w:rFonts w:ascii="Times New Roman"/>
              </w:rPr>
              <w:t>12</w:t>
            </w:r>
          </w:p>
        </w:tc>
        <w:tc>
          <w:tcPr>
            <w:tcW w:w="1615" w:type="dxa"/>
            <w:vAlign w:val="center"/>
          </w:tcPr>
          <w:p w14:paraId="4545EA2A">
            <w:pPr>
              <w:pStyle w:val="178"/>
              <w:rPr>
                <w:rFonts w:ascii="Times New Roman"/>
              </w:rPr>
            </w:pPr>
            <w:r>
              <w:rPr>
                <w:rFonts w:ascii="Times New Roman"/>
              </w:rPr>
              <w:t>磺胺甲噁唑</w:t>
            </w:r>
          </w:p>
        </w:tc>
        <w:tc>
          <w:tcPr>
            <w:tcW w:w="845" w:type="dxa"/>
            <w:shd w:val="clear" w:color="auto" w:fill="auto"/>
            <w:vAlign w:val="center"/>
          </w:tcPr>
          <w:p w14:paraId="016F6BDD">
            <w:pPr>
              <w:pStyle w:val="178"/>
              <w:rPr>
                <w:rFonts w:ascii="Times New Roman"/>
              </w:rPr>
            </w:pPr>
            <w:r>
              <w:rPr>
                <w:rFonts w:ascii="Times New Roman"/>
              </w:rPr>
              <w:t>9.58</w:t>
            </w:r>
          </w:p>
        </w:tc>
        <w:tc>
          <w:tcPr>
            <w:tcW w:w="1134" w:type="dxa"/>
            <w:shd w:val="clear" w:color="auto" w:fill="auto"/>
            <w:vAlign w:val="center"/>
          </w:tcPr>
          <w:p w14:paraId="1BF4C8D1">
            <w:pPr>
              <w:pStyle w:val="178"/>
              <w:rPr>
                <w:rFonts w:ascii="Times New Roman"/>
              </w:rPr>
            </w:pPr>
            <w:r>
              <w:rPr>
                <w:rFonts w:ascii="Times New Roman"/>
              </w:rPr>
              <w:t>254.1</w:t>
            </w:r>
          </w:p>
        </w:tc>
        <w:tc>
          <w:tcPr>
            <w:tcW w:w="1417" w:type="dxa"/>
            <w:shd w:val="clear" w:color="auto" w:fill="auto"/>
            <w:vAlign w:val="center"/>
          </w:tcPr>
          <w:p w14:paraId="5E3F367C">
            <w:pPr>
              <w:pStyle w:val="178"/>
              <w:rPr>
                <w:rFonts w:ascii="Times New Roman"/>
              </w:rPr>
            </w:pPr>
            <w:r>
              <w:rPr>
                <w:rFonts w:ascii="Times New Roman"/>
              </w:rPr>
              <w:t>91.8*</w:t>
            </w:r>
          </w:p>
          <w:p w14:paraId="56972C2D">
            <w:pPr>
              <w:pStyle w:val="178"/>
              <w:rPr>
                <w:rFonts w:ascii="Times New Roman"/>
              </w:rPr>
            </w:pPr>
            <w:r>
              <w:rPr>
                <w:rFonts w:ascii="Times New Roman"/>
              </w:rPr>
              <w:t>108.1</w:t>
            </w:r>
          </w:p>
        </w:tc>
        <w:tc>
          <w:tcPr>
            <w:tcW w:w="1134" w:type="dxa"/>
            <w:shd w:val="clear" w:color="auto" w:fill="auto"/>
            <w:vAlign w:val="center"/>
          </w:tcPr>
          <w:p w14:paraId="0E6ED501">
            <w:pPr>
              <w:pStyle w:val="178"/>
              <w:rPr>
                <w:rFonts w:ascii="Times New Roman"/>
              </w:rPr>
            </w:pPr>
            <w:r>
              <w:rPr>
                <w:rFonts w:ascii="Times New Roman"/>
              </w:rPr>
              <w:t>24</w:t>
            </w:r>
          </w:p>
          <w:p w14:paraId="113FA3E5">
            <w:pPr>
              <w:pStyle w:val="178"/>
              <w:rPr>
                <w:rFonts w:ascii="Times New Roman"/>
              </w:rPr>
            </w:pPr>
            <w:r>
              <w:rPr>
                <w:rFonts w:ascii="Times New Roman"/>
              </w:rPr>
              <w:t>31</w:t>
            </w:r>
          </w:p>
        </w:tc>
        <w:tc>
          <w:tcPr>
            <w:tcW w:w="1426" w:type="dxa"/>
            <w:vAlign w:val="center"/>
          </w:tcPr>
          <w:p w14:paraId="743920D8">
            <w:pPr>
              <w:pStyle w:val="178"/>
              <w:rPr>
                <w:rFonts w:ascii="Times New Roman"/>
              </w:rPr>
            </w:pPr>
            <w:r>
              <w:rPr>
                <w:rFonts w:ascii="Times New Roman"/>
              </w:rPr>
              <w:t>磺胺甲噁唑-</w:t>
            </w:r>
            <w:r>
              <w:rPr>
                <w:rFonts w:ascii="Times New Roman"/>
                <w:vertAlign w:val="superscript"/>
              </w:rPr>
              <w:t>13</w:t>
            </w:r>
            <w:r>
              <w:rPr>
                <w:rFonts w:ascii="Times New Roman"/>
              </w:rPr>
              <w:t>C</w:t>
            </w:r>
            <w:r>
              <w:rPr>
                <w:rFonts w:ascii="Times New Roman"/>
                <w:vertAlign w:val="subscript"/>
              </w:rPr>
              <w:t>6</w:t>
            </w:r>
          </w:p>
        </w:tc>
      </w:tr>
      <w:tr w14:paraId="3F19D8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235A875B">
            <w:pPr>
              <w:pStyle w:val="178"/>
              <w:rPr>
                <w:rFonts w:ascii="Times New Roman"/>
              </w:rPr>
            </w:pPr>
            <w:r>
              <w:rPr>
                <w:rFonts w:ascii="Times New Roman"/>
              </w:rPr>
              <w:t>13</w:t>
            </w:r>
          </w:p>
        </w:tc>
        <w:tc>
          <w:tcPr>
            <w:tcW w:w="1615" w:type="dxa"/>
            <w:vAlign w:val="center"/>
          </w:tcPr>
          <w:p w14:paraId="01ED02E8">
            <w:pPr>
              <w:pStyle w:val="178"/>
              <w:rPr>
                <w:rFonts w:ascii="Times New Roman"/>
              </w:rPr>
            </w:pPr>
            <w:r>
              <w:rPr>
                <w:rFonts w:ascii="Times New Roman"/>
              </w:rPr>
              <w:t>磺胺嘧啶</w:t>
            </w:r>
          </w:p>
        </w:tc>
        <w:tc>
          <w:tcPr>
            <w:tcW w:w="845" w:type="dxa"/>
            <w:shd w:val="clear" w:color="auto" w:fill="auto"/>
            <w:vAlign w:val="center"/>
          </w:tcPr>
          <w:p w14:paraId="0D1D1459">
            <w:pPr>
              <w:pStyle w:val="178"/>
              <w:rPr>
                <w:rFonts w:ascii="Times New Roman"/>
              </w:rPr>
            </w:pPr>
            <w:r>
              <w:rPr>
                <w:rFonts w:ascii="Times New Roman"/>
              </w:rPr>
              <w:t>5.49</w:t>
            </w:r>
          </w:p>
        </w:tc>
        <w:tc>
          <w:tcPr>
            <w:tcW w:w="1134" w:type="dxa"/>
            <w:shd w:val="clear" w:color="auto" w:fill="auto"/>
            <w:vAlign w:val="center"/>
          </w:tcPr>
          <w:p w14:paraId="5E34EDC4">
            <w:pPr>
              <w:pStyle w:val="178"/>
              <w:rPr>
                <w:rFonts w:ascii="Times New Roman"/>
              </w:rPr>
            </w:pPr>
            <w:r>
              <w:rPr>
                <w:rFonts w:ascii="Times New Roman"/>
              </w:rPr>
              <w:t>251.1</w:t>
            </w:r>
          </w:p>
        </w:tc>
        <w:tc>
          <w:tcPr>
            <w:tcW w:w="1417" w:type="dxa"/>
            <w:shd w:val="clear" w:color="auto" w:fill="auto"/>
            <w:vAlign w:val="center"/>
          </w:tcPr>
          <w:p w14:paraId="33D4DE7E">
            <w:pPr>
              <w:pStyle w:val="178"/>
              <w:rPr>
                <w:rFonts w:ascii="Times New Roman"/>
              </w:rPr>
            </w:pPr>
            <w:r>
              <w:rPr>
                <w:rFonts w:ascii="Times New Roman"/>
              </w:rPr>
              <w:t>156.1*</w:t>
            </w:r>
          </w:p>
          <w:p w14:paraId="4E4836B0">
            <w:pPr>
              <w:pStyle w:val="178"/>
              <w:rPr>
                <w:rFonts w:ascii="Times New Roman"/>
              </w:rPr>
            </w:pPr>
            <w:r>
              <w:rPr>
                <w:rFonts w:ascii="Times New Roman"/>
              </w:rPr>
              <w:t>92.0</w:t>
            </w:r>
          </w:p>
        </w:tc>
        <w:tc>
          <w:tcPr>
            <w:tcW w:w="1134" w:type="dxa"/>
            <w:shd w:val="clear" w:color="auto" w:fill="auto"/>
            <w:vAlign w:val="center"/>
          </w:tcPr>
          <w:p w14:paraId="2F09347C">
            <w:pPr>
              <w:pStyle w:val="178"/>
              <w:rPr>
                <w:rFonts w:ascii="Times New Roman"/>
              </w:rPr>
            </w:pPr>
            <w:r>
              <w:rPr>
                <w:rFonts w:ascii="Times New Roman"/>
              </w:rPr>
              <w:t>20</w:t>
            </w:r>
          </w:p>
          <w:p w14:paraId="3DEDC032">
            <w:pPr>
              <w:pStyle w:val="178"/>
              <w:rPr>
                <w:rFonts w:ascii="Times New Roman"/>
              </w:rPr>
            </w:pPr>
            <w:r>
              <w:rPr>
                <w:rFonts w:ascii="Times New Roman"/>
              </w:rPr>
              <w:t>28</w:t>
            </w:r>
          </w:p>
        </w:tc>
        <w:tc>
          <w:tcPr>
            <w:tcW w:w="1426" w:type="dxa"/>
            <w:vAlign w:val="center"/>
          </w:tcPr>
          <w:p w14:paraId="3F044432">
            <w:pPr>
              <w:pStyle w:val="178"/>
              <w:rPr>
                <w:rFonts w:ascii="Times New Roman"/>
              </w:rPr>
            </w:pPr>
            <w:r>
              <w:rPr>
                <w:rFonts w:ascii="Times New Roman"/>
              </w:rPr>
              <w:t>磺胺嘧啶-D</w:t>
            </w:r>
            <w:r>
              <w:rPr>
                <w:rFonts w:ascii="Times New Roman"/>
                <w:vertAlign w:val="subscript"/>
              </w:rPr>
              <w:t>4</w:t>
            </w:r>
          </w:p>
        </w:tc>
      </w:tr>
      <w:tr w14:paraId="11343B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2236394D">
            <w:pPr>
              <w:pStyle w:val="178"/>
              <w:rPr>
                <w:rFonts w:ascii="Times New Roman"/>
              </w:rPr>
            </w:pPr>
            <w:r>
              <w:rPr>
                <w:rFonts w:ascii="Times New Roman"/>
              </w:rPr>
              <w:t>14</w:t>
            </w:r>
          </w:p>
        </w:tc>
        <w:tc>
          <w:tcPr>
            <w:tcW w:w="1615" w:type="dxa"/>
            <w:vAlign w:val="center"/>
          </w:tcPr>
          <w:p w14:paraId="31753AF8">
            <w:pPr>
              <w:pStyle w:val="178"/>
              <w:rPr>
                <w:rFonts w:ascii="Times New Roman"/>
              </w:rPr>
            </w:pPr>
            <w:r>
              <w:rPr>
                <w:rFonts w:ascii="Times New Roman"/>
              </w:rPr>
              <w:t>甲氧苄啶</w:t>
            </w:r>
          </w:p>
        </w:tc>
        <w:tc>
          <w:tcPr>
            <w:tcW w:w="845" w:type="dxa"/>
            <w:shd w:val="clear" w:color="auto" w:fill="auto"/>
            <w:vAlign w:val="center"/>
          </w:tcPr>
          <w:p w14:paraId="603146D8">
            <w:pPr>
              <w:pStyle w:val="178"/>
              <w:rPr>
                <w:rFonts w:ascii="Times New Roman"/>
              </w:rPr>
            </w:pPr>
            <w:r>
              <w:rPr>
                <w:rFonts w:ascii="Times New Roman"/>
              </w:rPr>
              <w:t>5.66</w:t>
            </w:r>
          </w:p>
        </w:tc>
        <w:tc>
          <w:tcPr>
            <w:tcW w:w="1134" w:type="dxa"/>
            <w:shd w:val="clear" w:color="auto" w:fill="auto"/>
            <w:vAlign w:val="center"/>
          </w:tcPr>
          <w:p w14:paraId="05FF1314">
            <w:pPr>
              <w:pStyle w:val="178"/>
              <w:rPr>
                <w:rFonts w:ascii="Times New Roman"/>
              </w:rPr>
            </w:pPr>
            <w:r>
              <w:rPr>
                <w:rFonts w:ascii="Times New Roman"/>
              </w:rPr>
              <w:t>291.3</w:t>
            </w:r>
          </w:p>
        </w:tc>
        <w:tc>
          <w:tcPr>
            <w:tcW w:w="1417" w:type="dxa"/>
            <w:shd w:val="clear" w:color="auto" w:fill="auto"/>
            <w:vAlign w:val="center"/>
          </w:tcPr>
          <w:p w14:paraId="004E03DB">
            <w:pPr>
              <w:pStyle w:val="178"/>
              <w:rPr>
                <w:rFonts w:ascii="Times New Roman"/>
              </w:rPr>
            </w:pPr>
            <w:r>
              <w:rPr>
                <w:rFonts w:ascii="Times New Roman"/>
              </w:rPr>
              <w:t>230.1*</w:t>
            </w:r>
          </w:p>
          <w:p w14:paraId="085B01C8">
            <w:pPr>
              <w:pStyle w:val="178"/>
              <w:rPr>
                <w:rFonts w:ascii="Times New Roman"/>
              </w:rPr>
            </w:pPr>
            <w:r>
              <w:rPr>
                <w:rFonts w:ascii="Times New Roman"/>
              </w:rPr>
              <w:t>261.2</w:t>
            </w:r>
          </w:p>
        </w:tc>
        <w:tc>
          <w:tcPr>
            <w:tcW w:w="1134" w:type="dxa"/>
            <w:shd w:val="clear" w:color="auto" w:fill="auto"/>
            <w:vAlign w:val="center"/>
          </w:tcPr>
          <w:p w14:paraId="7E52FED3">
            <w:pPr>
              <w:pStyle w:val="178"/>
              <w:rPr>
                <w:rFonts w:ascii="Times New Roman"/>
              </w:rPr>
            </w:pPr>
            <w:r>
              <w:rPr>
                <w:rFonts w:ascii="Times New Roman"/>
              </w:rPr>
              <w:t>36</w:t>
            </w:r>
          </w:p>
          <w:p w14:paraId="4B7B27D9">
            <w:pPr>
              <w:pStyle w:val="178"/>
              <w:rPr>
                <w:rFonts w:ascii="Times New Roman"/>
              </w:rPr>
            </w:pPr>
            <w:r>
              <w:rPr>
                <w:rFonts w:ascii="Times New Roman"/>
              </w:rPr>
              <w:t>30</w:t>
            </w:r>
          </w:p>
        </w:tc>
        <w:tc>
          <w:tcPr>
            <w:tcW w:w="1426" w:type="dxa"/>
            <w:vAlign w:val="center"/>
          </w:tcPr>
          <w:p w14:paraId="282EDDC0">
            <w:pPr>
              <w:pStyle w:val="178"/>
              <w:rPr>
                <w:rFonts w:ascii="Times New Roman"/>
              </w:rPr>
            </w:pPr>
            <w:r>
              <w:rPr>
                <w:rFonts w:ascii="Times New Roman"/>
                <w:vertAlign w:val="superscript"/>
              </w:rPr>
              <w:t>13</w:t>
            </w:r>
            <w:r>
              <w:rPr>
                <w:rFonts w:ascii="Times New Roman"/>
              </w:rPr>
              <w:t>C</w:t>
            </w:r>
            <w:r>
              <w:rPr>
                <w:rFonts w:ascii="Times New Roman"/>
                <w:vertAlign w:val="subscript"/>
              </w:rPr>
              <w:t>3</w:t>
            </w:r>
            <w:r>
              <w:rPr>
                <w:rFonts w:ascii="Times New Roman"/>
              </w:rPr>
              <w:t>-甲氧苄啶</w:t>
            </w:r>
          </w:p>
        </w:tc>
      </w:tr>
      <w:tr w14:paraId="298521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1" w:hRule="atLeast"/>
          <w:jc w:val="center"/>
        </w:trPr>
        <w:tc>
          <w:tcPr>
            <w:tcW w:w="669" w:type="dxa"/>
            <w:shd w:val="clear" w:color="auto" w:fill="auto"/>
            <w:vAlign w:val="center"/>
          </w:tcPr>
          <w:p w14:paraId="481A0FA5">
            <w:pPr>
              <w:pStyle w:val="178"/>
              <w:rPr>
                <w:rFonts w:ascii="Times New Roman"/>
              </w:rPr>
            </w:pPr>
            <w:r>
              <w:rPr>
                <w:rFonts w:ascii="Times New Roman"/>
              </w:rPr>
              <w:t>15</w:t>
            </w:r>
          </w:p>
        </w:tc>
        <w:tc>
          <w:tcPr>
            <w:tcW w:w="1615" w:type="dxa"/>
            <w:vAlign w:val="center"/>
          </w:tcPr>
          <w:p w14:paraId="6D212BC0">
            <w:pPr>
              <w:pStyle w:val="178"/>
              <w:rPr>
                <w:rFonts w:ascii="Times New Roman"/>
              </w:rPr>
            </w:pPr>
            <w:r>
              <w:rPr>
                <w:rFonts w:ascii="Times New Roman"/>
              </w:rPr>
              <w:t>磺胺喹噁啉</w:t>
            </w:r>
          </w:p>
        </w:tc>
        <w:tc>
          <w:tcPr>
            <w:tcW w:w="845" w:type="dxa"/>
            <w:shd w:val="clear" w:color="auto" w:fill="auto"/>
            <w:vAlign w:val="center"/>
          </w:tcPr>
          <w:p w14:paraId="3626BB3F">
            <w:pPr>
              <w:pStyle w:val="178"/>
              <w:rPr>
                <w:rFonts w:ascii="Times New Roman"/>
              </w:rPr>
            </w:pPr>
            <w:r>
              <w:rPr>
                <w:rFonts w:ascii="Times New Roman"/>
              </w:rPr>
              <w:t>11.45</w:t>
            </w:r>
          </w:p>
        </w:tc>
        <w:tc>
          <w:tcPr>
            <w:tcW w:w="1134" w:type="dxa"/>
            <w:shd w:val="clear" w:color="auto" w:fill="auto"/>
            <w:vAlign w:val="center"/>
          </w:tcPr>
          <w:p w14:paraId="25307F0E">
            <w:pPr>
              <w:pStyle w:val="178"/>
              <w:rPr>
                <w:rFonts w:ascii="Times New Roman"/>
              </w:rPr>
            </w:pPr>
            <w:r>
              <w:rPr>
                <w:rFonts w:ascii="Times New Roman"/>
              </w:rPr>
              <w:t>300.9</w:t>
            </w:r>
          </w:p>
        </w:tc>
        <w:tc>
          <w:tcPr>
            <w:tcW w:w="1417" w:type="dxa"/>
            <w:shd w:val="clear" w:color="auto" w:fill="auto"/>
            <w:vAlign w:val="center"/>
          </w:tcPr>
          <w:p w14:paraId="02B0786C">
            <w:pPr>
              <w:pStyle w:val="178"/>
              <w:rPr>
                <w:rFonts w:ascii="Times New Roman"/>
              </w:rPr>
            </w:pPr>
            <w:r>
              <w:rPr>
                <w:rFonts w:ascii="Times New Roman"/>
              </w:rPr>
              <w:t>156.1*</w:t>
            </w:r>
          </w:p>
          <w:p w14:paraId="378C5879">
            <w:pPr>
              <w:pStyle w:val="178"/>
              <w:rPr>
                <w:rFonts w:ascii="Times New Roman"/>
              </w:rPr>
            </w:pPr>
            <w:r>
              <w:rPr>
                <w:rFonts w:ascii="Times New Roman"/>
              </w:rPr>
              <w:t>108.0</w:t>
            </w:r>
          </w:p>
        </w:tc>
        <w:tc>
          <w:tcPr>
            <w:tcW w:w="1134" w:type="dxa"/>
            <w:shd w:val="clear" w:color="auto" w:fill="auto"/>
            <w:vAlign w:val="center"/>
          </w:tcPr>
          <w:p w14:paraId="7DD62C0D">
            <w:pPr>
              <w:pStyle w:val="178"/>
              <w:rPr>
                <w:rFonts w:ascii="Times New Roman"/>
              </w:rPr>
            </w:pPr>
            <w:r>
              <w:rPr>
                <w:rFonts w:ascii="Times New Roman"/>
              </w:rPr>
              <w:t>22</w:t>
            </w:r>
          </w:p>
          <w:p w14:paraId="5B94CFB5">
            <w:pPr>
              <w:pStyle w:val="178"/>
              <w:rPr>
                <w:rFonts w:ascii="Times New Roman"/>
              </w:rPr>
            </w:pPr>
            <w:r>
              <w:rPr>
                <w:rFonts w:ascii="Times New Roman"/>
              </w:rPr>
              <w:t>32</w:t>
            </w:r>
          </w:p>
        </w:tc>
        <w:tc>
          <w:tcPr>
            <w:tcW w:w="1426" w:type="dxa"/>
            <w:vAlign w:val="center"/>
          </w:tcPr>
          <w:p w14:paraId="77A55FF0">
            <w:pPr>
              <w:pStyle w:val="178"/>
              <w:rPr>
                <w:rFonts w:ascii="Times New Roman"/>
              </w:rPr>
            </w:pPr>
            <w:r>
              <w:rPr>
                <w:rFonts w:ascii="Times New Roman"/>
              </w:rPr>
              <w:t>磺胺喹噁啉-D</w:t>
            </w:r>
            <w:r>
              <w:rPr>
                <w:rFonts w:ascii="Times New Roman"/>
                <w:vertAlign w:val="subscript"/>
              </w:rPr>
              <w:t>4</w:t>
            </w:r>
          </w:p>
        </w:tc>
      </w:tr>
      <w:tr w14:paraId="2B3485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5EFD3711">
            <w:pPr>
              <w:pStyle w:val="178"/>
              <w:rPr>
                <w:rFonts w:ascii="Times New Roman"/>
              </w:rPr>
            </w:pPr>
            <w:r>
              <w:rPr>
                <w:rFonts w:ascii="Times New Roman"/>
              </w:rPr>
              <w:t>16</w:t>
            </w:r>
          </w:p>
        </w:tc>
        <w:tc>
          <w:tcPr>
            <w:tcW w:w="1615" w:type="dxa"/>
            <w:vAlign w:val="center"/>
          </w:tcPr>
          <w:p w14:paraId="3CB5760B">
            <w:pPr>
              <w:pStyle w:val="178"/>
              <w:rPr>
                <w:rFonts w:ascii="Times New Roman"/>
              </w:rPr>
            </w:pPr>
            <w:r>
              <w:rPr>
                <w:rFonts w:ascii="Times New Roman"/>
              </w:rPr>
              <w:t>磺胺氯哒嗪</w:t>
            </w:r>
          </w:p>
        </w:tc>
        <w:tc>
          <w:tcPr>
            <w:tcW w:w="845" w:type="dxa"/>
            <w:shd w:val="clear" w:color="auto" w:fill="auto"/>
            <w:vAlign w:val="center"/>
          </w:tcPr>
          <w:p w14:paraId="15A3EBC7">
            <w:pPr>
              <w:pStyle w:val="178"/>
              <w:rPr>
                <w:rFonts w:ascii="Times New Roman"/>
              </w:rPr>
            </w:pPr>
            <w:r>
              <w:rPr>
                <w:rFonts w:ascii="Times New Roman"/>
              </w:rPr>
              <w:t>8.87</w:t>
            </w:r>
          </w:p>
        </w:tc>
        <w:tc>
          <w:tcPr>
            <w:tcW w:w="1134" w:type="dxa"/>
            <w:shd w:val="clear" w:color="auto" w:fill="auto"/>
            <w:vAlign w:val="center"/>
          </w:tcPr>
          <w:p w14:paraId="5A7620FE">
            <w:pPr>
              <w:pStyle w:val="178"/>
              <w:rPr>
                <w:rFonts w:ascii="Times New Roman"/>
              </w:rPr>
            </w:pPr>
            <w:r>
              <w:rPr>
                <w:rFonts w:ascii="Times New Roman"/>
              </w:rPr>
              <w:t>284.9</w:t>
            </w:r>
          </w:p>
        </w:tc>
        <w:tc>
          <w:tcPr>
            <w:tcW w:w="1417" w:type="dxa"/>
            <w:shd w:val="clear" w:color="auto" w:fill="auto"/>
            <w:vAlign w:val="center"/>
          </w:tcPr>
          <w:p w14:paraId="5F765DC9">
            <w:pPr>
              <w:pStyle w:val="178"/>
              <w:rPr>
                <w:rFonts w:ascii="Times New Roman"/>
              </w:rPr>
            </w:pPr>
            <w:r>
              <w:rPr>
                <w:rFonts w:ascii="Times New Roman"/>
              </w:rPr>
              <w:t>156.0*</w:t>
            </w:r>
          </w:p>
          <w:p w14:paraId="4DB54644">
            <w:pPr>
              <w:pStyle w:val="178"/>
              <w:rPr>
                <w:rFonts w:ascii="Times New Roman"/>
              </w:rPr>
            </w:pPr>
            <w:r>
              <w:rPr>
                <w:rFonts w:ascii="Times New Roman"/>
              </w:rPr>
              <w:t>92.0</w:t>
            </w:r>
          </w:p>
        </w:tc>
        <w:tc>
          <w:tcPr>
            <w:tcW w:w="1134" w:type="dxa"/>
            <w:shd w:val="clear" w:color="auto" w:fill="auto"/>
            <w:vAlign w:val="center"/>
          </w:tcPr>
          <w:p w14:paraId="6B070193">
            <w:pPr>
              <w:pStyle w:val="178"/>
              <w:rPr>
                <w:rFonts w:ascii="Times New Roman"/>
              </w:rPr>
            </w:pPr>
            <w:r>
              <w:rPr>
                <w:rFonts w:ascii="Times New Roman"/>
              </w:rPr>
              <w:t>19</w:t>
            </w:r>
          </w:p>
          <w:p w14:paraId="025DF42C">
            <w:pPr>
              <w:pStyle w:val="178"/>
              <w:rPr>
                <w:rFonts w:ascii="Times New Roman"/>
              </w:rPr>
            </w:pPr>
            <w:r>
              <w:rPr>
                <w:rFonts w:ascii="Times New Roman"/>
              </w:rPr>
              <w:t>30</w:t>
            </w:r>
          </w:p>
        </w:tc>
        <w:tc>
          <w:tcPr>
            <w:tcW w:w="1426" w:type="dxa"/>
            <w:vAlign w:val="center"/>
          </w:tcPr>
          <w:p w14:paraId="45C7E10B">
            <w:pPr>
              <w:pStyle w:val="178"/>
              <w:rPr>
                <w:rFonts w:ascii="Times New Roman"/>
              </w:rPr>
            </w:pPr>
            <w:r>
              <w:rPr>
                <w:rFonts w:ascii="Times New Roman"/>
              </w:rPr>
              <w:t>磺胺氯哒嗪-D</w:t>
            </w:r>
            <w:r>
              <w:rPr>
                <w:rFonts w:ascii="Times New Roman"/>
                <w:vertAlign w:val="subscript"/>
              </w:rPr>
              <w:t>4</w:t>
            </w:r>
          </w:p>
        </w:tc>
      </w:tr>
      <w:tr w14:paraId="306C08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52244B75">
            <w:pPr>
              <w:pStyle w:val="178"/>
              <w:rPr>
                <w:rFonts w:ascii="Times New Roman"/>
              </w:rPr>
            </w:pPr>
            <w:r>
              <w:rPr>
                <w:rFonts w:ascii="Times New Roman"/>
              </w:rPr>
              <w:t>17</w:t>
            </w:r>
          </w:p>
        </w:tc>
        <w:tc>
          <w:tcPr>
            <w:tcW w:w="1615" w:type="dxa"/>
            <w:vAlign w:val="center"/>
          </w:tcPr>
          <w:p w14:paraId="11ADDAC8">
            <w:pPr>
              <w:pStyle w:val="178"/>
              <w:rPr>
                <w:rFonts w:ascii="Times New Roman"/>
              </w:rPr>
            </w:pPr>
            <w:r>
              <w:rPr>
                <w:rFonts w:ascii="Times New Roman"/>
              </w:rPr>
              <w:t>磺胺林</w:t>
            </w:r>
          </w:p>
        </w:tc>
        <w:tc>
          <w:tcPr>
            <w:tcW w:w="845" w:type="dxa"/>
            <w:shd w:val="clear" w:color="auto" w:fill="auto"/>
            <w:vAlign w:val="center"/>
          </w:tcPr>
          <w:p w14:paraId="4E61DD9B">
            <w:pPr>
              <w:pStyle w:val="178"/>
              <w:rPr>
                <w:rFonts w:ascii="Times New Roman"/>
              </w:rPr>
            </w:pPr>
            <w:r>
              <w:rPr>
                <w:rFonts w:ascii="Times New Roman"/>
              </w:rPr>
              <w:t>8.57</w:t>
            </w:r>
          </w:p>
        </w:tc>
        <w:tc>
          <w:tcPr>
            <w:tcW w:w="1134" w:type="dxa"/>
            <w:shd w:val="clear" w:color="auto" w:fill="auto"/>
            <w:vAlign w:val="center"/>
          </w:tcPr>
          <w:p w14:paraId="27E2CF98">
            <w:pPr>
              <w:pStyle w:val="178"/>
              <w:rPr>
                <w:rFonts w:ascii="Times New Roman"/>
              </w:rPr>
            </w:pPr>
            <w:r>
              <w:rPr>
                <w:rFonts w:ascii="Times New Roman"/>
              </w:rPr>
              <w:t>281.1</w:t>
            </w:r>
          </w:p>
        </w:tc>
        <w:tc>
          <w:tcPr>
            <w:tcW w:w="1417" w:type="dxa"/>
            <w:shd w:val="clear" w:color="auto" w:fill="auto"/>
            <w:vAlign w:val="center"/>
          </w:tcPr>
          <w:p w14:paraId="74F51B90">
            <w:pPr>
              <w:pStyle w:val="178"/>
              <w:rPr>
                <w:rFonts w:ascii="Times New Roman"/>
              </w:rPr>
            </w:pPr>
            <w:r>
              <w:rPr>
                <w:rFonts w:ascii="Times New Roman"/>
              </w:rPr>
              <w:t>156.1*</w:t>
            </w:r>
          </w:p>
          <w:p w14:paraId="5DFE3896">
            <w:pPr>
              <w:pStyle w:val="178"/>
              <w:rPr>
                <w:rFonts w:ascii="Times New Roman"/>
              </w:rPr>
            </w:pPr>
            <w:r>
              <w:rPr>
                <w:rFonts w:ascii="Times New Roman"/>
              </w:rPr>
              <w:t>108.0</w:t>
            </w:r>
          </w:p>
        </w:tc>
        <w:tc>
          <w:tcPr>
            <w:tcW w:w="1134" w:type="dxa"/>
            <w:shd w:val="clear" w:color="auto" w:fill="auto"/>
            <w:vAlign w:val="center"/>
          </w:tcPr>
          <w:p w14:paraId="296CC852">
            <w:pPr>
              <w:pStyle w:val="178"/>
              <w:rPr>
                <w:rFonts w:ascii="Times New Roman"/>
              </w:rPr>
            </w:pPr>
            <w:r>
              <w:rPr>
                <w:rFonts w:ascii="Times New Roman"/>
              </w:rPr>
              <w:t>22</w:t>
            </w:r>
          </w:p>
          <w:p w14:paraId="43D00DC0">
            <w:pPr>
              <w:pStyle w:val="178"/>
              <w:rPr>
                <w:rFonts w:ascii="Times New Roman"/>
              </w:rPr>
            </w:pPr>
            <w:r>
              <w:rPr>
                <w:rFonts w:ascii="Times New Roman"/>
              </w:rPr>
              <w:t>27</w:t>
            </w:r>
          </w:p>
        </w:tc>
        <w:tc>
          <w:tcPr>
            <w:tcW w:w="1426" w:type="dxa"/>
            <w:vAlign w:val="center"/>
          </w:tcPr>
          <w:p w14:paraId="30C8C6FC">
            <w:pPr>
              <w:pStyle w:val="178"/>
              <w:rPr>
                <w:rFonts w:ascii="Times New Roman"/>
              </w:rPr>
            </w:pPr>
            <w:r>
              <w:rPr>
                <w:rFonts w:ascii="Times New Roman"/>
              </w:rPr>
              <w:t>磺胺林-</w:t>
            </w:r>
            <w:r>
              <w:rPr>
                <w:rFonts w:ascii="Times New Roman"/>
                <w:vertAlign w:val="superscript"/>
              </w:rPr>
              <w:t>13</w:t>
            </w:r>
            <w:r>
              <w:rPr>
                <w:rFonts w:ascii="Times New Roman"/>
              </w:rPr>
              <w:t>C</w:t>
            </w:r>
            <w:r>
              <w:rPr>
                <w:rFonts w:ascii="Times New Roman"/>
                <w:vertAlign w:val="subscript"/>
              </w:rPr>
              <w:t>6</w:t>
            </w:r>
          </w:p>
        </w:tc>
      </w:tr>
      <w:tr w14:paraId="4F227A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1" w:hRule="atLeast"/>
          <w:jc w:val="center"/>
        </w:trPr>
        <w:tc>
          <w:tcPr>
            <w:tcW w:w="669" w:type="dxa"/>
            <w:shd w:val="clear" w:color="auto" w:fill="auto"/>
            <w:vAlign w:val="center"/>
          </w:tcPr>
          <w:p w14:paraId="685BCC44">
            <w:pPr>
              <w:pStyle w:val="178"/>
              <w:rPr>
                <w:rFonts w:ascii="Times New Roman"/>
              </w:rPr>
            </w:pPr>
            <w:r>
              <w:rPr>
                <w:rFonts w:ascii="Times New Roman"/>
              </w:rPr>
              <w:t>18</w:t>
            </w:r>
          </w:p>
        </w:tc>
        <w:tc>
          <w:tcPr>
            <w:tcW w:w="1615" w:type="dxa"/>
            <w:vAlign w:val="center"/>
          </w:tcPr>
          <w:p w14:paraId="2C7C44AA">
            <w:pPr>
              <w:pStyle w:val="178"/>
              <w:rPr>
                <w:rFonts w:ascii="Times New Roman"/>
              </w:rPr>
            </w:pPr>
            <w:r>
              <w:rPr>
                <w:rFonts w:ascii="Times New Roman"/>
              </w:rPr>
              <w:t>头孢克洛</w:t>
            </w:r>
          </w:p>
        </w:tc>
        <w:tc>
          <w:tcPr>
            <w:tcW w:w="845" w:type="dxa"/>
            <w:shd w:val="clear" w:color="auto" w:fill="auto"/>
            <w:vAlign w:val="center"/>
          </w:tcPr>
          <w:p w14:paraId="0CBCB1EC">
            <w:pPr>
              <w:pStyle w:val="178"/>
              <w:rPr>
                <w:rFonts w:ascii="Times New Roman"/>
              </w:rPr>
            </w:pPr>
            <w:r>
              <w:rPr>
                <w:rFonts w:ascii="Times New Roman"/>
              </w:rPr>
              <w:t>5.10</w:t>
            </w:r>
          </w:p>
        </w:tc>
        <w:tc>
          <w:tcPr>
            <w:tcW w:w="1134" w:type="dxa"/>
            <w:shd w:val="clear" w:color="auto" w:fill="auto"/>
            <w:vAlign w:val="center"/>
          </w:tcPr>
          <w:p w14:paraId="7DB2F365">
            <w:pPr>
              <w:pStyle w:val="178"/>
              <w:rPr>
                <w:rFonts w:ascii="Times New Roman"/>
              </w:rPr>
            </w:pPr>
            <w:r>
              <w:rPr>
                <w:rFonts w:ascii="Times New Roman"/>
              </w:rPr>
              <w:t>368.0</w:t>
            </w:r>
          </w:p>
        </w:tc>
        <w:tc>
          <w:tcPr>
            <w:tcW w:w="1417" w:type="dxa"/>
            <w:shd w:val="clear" w:color="auto" w:fill="auto"/>
            <w:vAlign w:val="center"/>
          </w:tcPr>
          <w:p w14:paraId="0C09692D">
            <w:pPr>
              <w:pStyle w:val="178"/>
              <w:rPr>
                <w:rFonts w:ascii="Times New Roman"/>
              </w:rPr>
            </w:pPr>
            <w:r>
              <w:rPr>
                <w:rFonts w:ascii="Times New Roman"/>
              </w:rPr>
              <w:t>105.9*</w:t>
            </w:r>
          </w:p>
          <w:p w14:paraId="32A746AD">
            <w:pPr>
              <w:pStyle w:val="178"/>
              <w:rPr>
                <w:rFonts w:ascii="Times New Roman"/>
              </w:rPr>
            </w:pPr>
            <w:r>
              <w:rPr>
                <w:rFonts w:ascii="Times New Roman"/>
              </w:rPr>
              <w:t>174.1</w:t>
            </w:r>
          </w:p>
        </w:tc>
        <w:tc>
          <w:tcPr>
            <w:tcW w:w="1134" w:type="dxa"/>
            <w:shd w:val="clear" w:color="auto" w:fill="auto"/>
            <w:vAlign w:val="center"/>
          </w:tcPr>
          <w:p w14:paraId="717EE42A">
            <w:pPr>
              <w:pStyle w:val="178"/>
              <w:rPr>
                <w:rFonts w:ascii="Times New Roman"/>
              </w:rPr>
            </w:pPr>
            <w:r>
              <w:rPr>
                <w:rFonts w:ascii="Times New Roman"/>
              </w:rPr>
              <w:t>24</w:t>
            </w:r>
          </w:p>
          <w:p w14:paraId="4B4FE13C">
            <w:pPr>
              <w:pStyle w:val="178"/>
              <w:rPr>
                <w:rFonts w:ascii="Times New Roman"/>
              </w:rPr>
            </w:pPr>
            <w:r>
              <w:rPr>
                <w:rFonts w:ascii="Times New Roman"/>
              </w:rPr>
              <w:t>18</w:t>
            </w:r>
          </w:p>
        </w:tc>
        <w:tc>
          <w:tcPr>
            <w:tcW w:w="1426" w:type="dxa"/>
            <w:vAlign w:val="center"/>
          </w:tcPr>
          <w:p w14:paraId="60EA786E">
            <w:pPr>
              <w:pStyle w:val="178"/>
              <w:rPr>
                <w:rFonts w:ascii="Times New Roman"/>
              </w:rPr>
            </w:pPr>
            <w:r>
              <w:rPr>
                <w:rFonts w:ascii="Times New Roman"/>
              </w:rPr>
              <w:t>头孢噻呋-D</w:t>
            </w:r>
            <w:r>
              <w:rPr>
                <w:rFonts w:ascii="Times New Roman"/>
                <w:vertAlign w:val="subscript"/>
              </w:rPr>
              <w:t>3</w:t>
            </w:r>
          </w:p>
        </w:tc>
      </w:tr>
      <w:tr w14:paraId="19FD0A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1AB61AD9">
            <w:pPr>
              <w:pStyle w:val="178"/>
              <w:rPr>
                <w:rFonts w:ascii="Times New Roman"/>
              </w:rPr>
            </w:pPr>
            <w:r>
              <w:rPr>
                <w:rFonts w:ascii="Times New Roman"/>
              </w:rPr>
              <w:t>19</w:t>
            </w:r>
          </w:p>
        </w:tc>
        <w:tc>
          <w:tcPr>
            <w:tcW w:w="1615" w:type="dxa"/>
            <w:vAlign w:val="center"/>
          </w:tcPr>
          <w:p w14:paraId="281BA1E2">
            <w:pPr>
              <w:pStyle w:val="178"/>
              <w:rPr>
                <w:rFonts w:ascii="Times New Roman"/>
              </w:rPr>
            </w:pPr>
            <w:r>
              <w:rPr>
                <w:rFonts w:ascii="Times New Roman"/>
              </w:rPr>
              <w:t>林可霉素</w:t>
            </w:r>
          </w:p>
        </w:tc>
        <w:tc>
          <w:tcPr>
            <w:tcW w:w="845" w:type="dxa"/>
            <w:shd w:val="clear" w:color="auto" w:fill="auto"/>
            <w:vAlign w:val="center"/>
          </w:tcPr>
          <w:p w14:paraId="16ECF9D0">
            <w:pPr>
              <w:pStyle w:val="178"/>
              <w:rPr>
                <w:rFonts w:ascii="Times New Roman"/>
              </w:rPr>
            </w:pPr>
            <w:r>
              <w:rPr>
                <w:rFonts w:ascii="Times New Roman"/>
              </w:rPr>
              <w:t>4.84</w:t>
            </w:r>
          </w:p>
        </w:tc>
        <w:tc>
          <w:tcPr>
            <w:tcW w:w="1134" w:type="dxa"/>
            <w:shd w:val="clear" w:color="auto" w:fill="auto"/>
            <w:vAlign w:val="center"/>
          </w:tcPr>
          <w:p w14:paraId="226A8C43">
            <w:pPr>
              <w:pStyle w:val="178"/>
              <w:rPr>
                <w:rFonts w:ascii="Times New Roman"/>
              </w:rPr>
            </w:pPr>
            <w:r>
              <w:rPr>
                <w:rFonts w:ascii="Times New Roman"/>
              </w:rPr>
              <w:t>407.3</w:t>
            </w:r>
          </w:p>
        </w:tc>
        <w:tc>
          <w:tcPr>
            <w:tcW w:w="1417" w:type="dxa"/>
            <w:shd w:val="clear" w:color="auto" w:fill="auto"/>
            <w:vAlign w:val="center"/>
          </w:tcPr>
          <w:p w14:paraId="3D6BF57E">
            <w:pPr>
              <w:pStyle w:val="178"/>
              <w:rPr>
                <w:rFonts w:ascii="Times New Roman"/>
              </w:rPr>
            </w:pPr>
            <w:r>
              <w:rPr>
                <w:rFonts w:ascii="Times New Roman"/>
              </w:rPr>
              <w:t>126.1*</w:t>
            </w:r>
          </w:p>
          <w:p w14:paraId="632779AF">
            <w:pPr>
              <w:pStyle w:val="178"/>
              <w:rPr>
                <w:rFonts w:ascii="Times New Roman"/>
              </w:rPr>
            </w:pPr>
            <w:r>
              <w:rPr>
                <w:rFonts w:ascii="Times New Roman"/>
              </w:rPr>
              <w:t>359.5</w:t>
            </w:r>
          </w:p>
        </w:tc>
        <w:tc>
          <w:tcPr>
            <w:tcW w:w="1134" w:type="dxa"/>
            <w:shd w:val="clear" w:color="auto" w:fill="auto"/>
            <w:vAlign w:val="center"/>
          </w:tcPr>
          <w:p w14:paraId="1E22ED3F">
            <w:pPr>
              <w:pStyle w:val="178"/>
              <w:rPr>
                <w:rFonts w:ascii="Times New Roman"/>
              </w:rPr>
            </w:pPr>
            <w:r>
              <w:rPr>
                <w:rFonts w:ascii="Times New Roman"/>
              </w:rPr>
              <w:t>34</w:t>
            </w:r>
          </w:p>
          <w:p w14:paraId="519D1CCF">
            <w:pPr>
              <w:pStyle w:val="178"/>
              <w:rPr>
                <w:rFonts w:ascii="Times New Roman"/>
              </w:rPr>
            </w:pPr>
            <w:r>
              <w:rPr>
                <w:rFonts w:ascii="Times New Roman"/>
              </w:rPr>
              <w:t>26</w:t>
            </w:r>
          </w:p>
        </w:tc>
        <w:tc>
          <w:tcPr>
            <w:tcW w:w="1426" w:type="dxa"/>
            <w:vAlign w:val="center"/>
          </w:tcPr>
          <w:p w14:paraId="26EC98FC">
            <w:pPr>
              <w:pStyle w:val="178"/>
              <w:rPr>
                <w:rFonts w:ascii="Times New Roman"/>
              </w:rPr>
            </w:pPr>
            <w:r>
              <w:rPr>
                <w:rFonts w:ascii="Times New Roman"/>
              </w:rPr>
              <w:t>林可霉素-D</w:t>
            </w:r>
            <w:r>
              <w:rPr>
                <w:rFonts w:ascii="Times New Roman"/>
                <w:vertAlign w:val="subscript"/>
              </w:rPr>
              <w:t>3</w:t>
            </w:r>
          </w:p>
        </w:tc>
      </w:tr>
      <w:tr w14:paraId="0E289A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1" w:hRule="atLeast"/>
          <w:jc w:val="center"/>
        </w:trPr>
        <w:tc>
          <w:tcPr>
            <w:tcW w:w="669" w:type="dxa"/>
            <w:shd w:val="clear" w:color="auto" w:fill="auto"/>
            <w:vAlign w:val="center"/>
          </w:tcPr>
          <w:p w14:paraId="6103043F">
            <w:pPr>
              <w:pStyle w:val="178"/>
              <w:rPr>
                <w:rFonts w:ascii="Times New Roman"/>
              </w:rPr>
            </w:pPr>
            <w:r>
              <w:rPr>
                <w:rFonts w:ascii="Times New Roman"/>
              </w:rPr>
              <w:t>20</w:t>
            </w:r>
          </w:p>
        </w:tc>
        <w:tc>
          <w:tcPr>
            <w:tcW w:w="1615" w:type="dxa"/>
            <w:vAlign w:val="center"/>
          </w:tcPr>
          <w:p w14:paraId="28063E44">
            <w:pPr>
              <w:pStyle w:val="178"/>
              <w:rPr>
                <w:rFonts w:ascii="Times New Roman"/>
              </w:rPr>
            </w:pPr>
            <w:r>
              <w:rPr>
                <w:rFonts w:ascii="Times New Roman"/>
              </w:rPr>
              <w:t>阿奇霉素-D</w:t>
            </w:r>
            <w:r>
              <w:rPr>
                <w:rFonts w:ascii="Times New Roman"/>
                <w:vertAlign w:val="subscript"/>
              </w:rPr>
              <w:t>3</w:t>
            </w:r>
          </w:p>
        </w:tc>
        <w:tc>
          <w:tcPr>
            <w:tcW w:w="845" w:type="dxa"/>
            <w:shd w:val="clear" w:color="auto" w:fill="auto"/>
            <w:vAlign w:val="center"/>
          </w:tcPr>
          <w:p w14:paraId="078B8C86">
            <w:pPr>
              <w:pStyle w:val="178"/>
              <w:rPr>
                <w:rFonts w:ascii="Times New Roman"/>
              </w:rPr>
            </w:pPr>
            <w:r>
              <w:rPr>
                <w:rFonts w:ascii="Times New Roman"/>
              </w:rPr>
              <w:t>8.34</w:t>
            </w:r>
          </w:p>
        </w:tc>
        <w:tc>
          <w:tcPr>
            <w:tcW w:w="1134" w:type="dxa"/>
            <w:shd w:val="clear" w:color="auto" w:fill="auto"/>
            <w:vAlign w:val="center"/>
          </w:tcPr>
          <w:p w14:paraId="09C97B98">
            <w:pPr>
              <w:pStyle w:val="178"/>
              <w:rPr>
                <w:rFonts w:ascii="Times New Roman"/>
              </w:rPr>
            </w:pPr>
            <w:r>
              <w:rPr>
                <w:rFonts w:ascii="Times New Roman"/>
              </w:rPr>
              <w:t>752.6</w:t>
            </w:r>
          </w:p>
        </w:tc>
        <w:tc>
          <w:tcPr>
            <w:tcW w:w="1417" w:type="dxa"/>
            <w:shd w:val="clear" w:color="auto" w:fill="auto"/>
            <w:vAlign w:val="center"/>
          </w:tcPr>
          <w:p w14:paraId="6D750058">
            <w:pPr>
              <w:pStyle w:val="178"/>
              <w:rPr>
                <w:rFonts w:ascii="Times New Roman"/>
              </w:rPr>
            </w:pPr>
            <w:r>
              <w:rPr>
                <w:rFonts w:ascii="Times New Roman"/>
              </w:rPr>
              <w:t>594.4</w:t>
            </w:r>
          </w:p>
        </w:tc>
        <w:tc>
          <w:tcPr>
            <w:tcW w:w="1134" w:type="dxa"/>
            <w:shd w:val="clear" w:color="auto" w:fill="auto"/>
            <w:vAlign w:val="center"/>
          </w:tcPr>
          <w:p w14:paraId="241DD215">
            <w:pPr>
              <w:pStyle w:val="178"/>
              <w:rPr>
                <w:rFonts w:ascii="Times New Roman"/>
              </w:rPr>
            </w:pPr>
            <w:r>
              <w:rPr>
                <w:rFonts w:ascii="Times New Roman"/>
              </w:rPr>
              <w:t>46</w:t>
            </w:r>
          </w:p>
        </w:tc>
        <w:tc>
          <w:tcPr>
            <w:tcW w:w="1426" w:type="dxa"/>
          </w:tcPr>
          <w:p w14:paraId="3E84B2FA">
            <w:pPr>
              <w:pStyle w:val="178"/>
              <w:rPr>
                <w:rFonts w:ascii="Times New Roman"/>
              </w:rPr>
            </w:pPr>
            <w:r>
              <w:rPr>
                <w:rFonts w:ascii="Times New Roman"/>
              </w:rPr>
              <w:t>－</w:t>
            </w:r>
          </w:p>
        </w:tc>
      </w:tr>
      <w:tr w14:paraId="57BD6D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7362F63A">
            <w:pPr>
              <w:pStyle w:val="178"/>
              <w:rPr>
                <w:rFonts w:ascii="Times New Roman"/>
              </w:rPr>
            </w:pPr>
            <w:r>
              <w:rPr>
                <w:rFonts w:ascii="Times New Roman"/>
              </w:rPr>
              <w:t>21</w:t>
            </w:r>
          </w:p>
        </w:tc>
        <w:tc>
          <w:tcPr>
            <w:tcW w:w="1615" w:type="dxa"/>
            <w:vAlign w:val="center"/>
          </w:tcPr>
          <w:p w14:paraId="0EB0891B">
            <w:pPr>
              <w:pStyle w:val="178"/>
              <w:rPr>
                <w:rFonts w:ascii="Times New Roman"/>
              </w:rPr>
            </w:pPr>
            <w:r>
              <w:rPr>
                <w:rFonts w:ascii="Times New Roman"/>
              </w:rPr>
              <w:t>克拉霉素-</w:t>
            </w:r>
            <w:r>
              <w:rPr>
                <w:rFonts w:ascii="Times New Roman"/>
                <w:vertAlign w:val="superscript"/>
              </w:rPr>
              <w:t>13</w:t>
            </w:r>
            <w:r>
              <w:rPr>
                <w:rFonts w:ascii="Times New Roman"/>
              </w:rPr>
              <w:t>C，D</w:t>
            </w:r>
            <w:r>
              <w:rPr>
                <w:rFonts w:ascii="Times New Roman"/>
                <w:vertAlign w:val="subscript"/>
              </w:rPr>
              <w:t>3</w:t>
            </w:r>
          </w:p>
        </w:tc>
        <w:tc>
          <w:tcPr>
            <w:tcW w:w="845" w:type="dxa"/>
            <w:shd w:val="clear" w:color="auto" w:fill="auto"/>
            <w:vAlign w:val="center"/>
          </w:tcPr>
          <w:p w14:paraId="1AA2C92E">
            <w:pPr>
              <w:pStyle w:val="178"/>
              <w:rPr>
                <w:rFonts w:ascii="Times New Roman"/>
              </w:rPr>
            </w:pPr>
            <w:r>
              <w:rPr>
                <w:rFonts w:ascii="Times New Roman"/>
              </w:rPr>
              <w:t>12.53</w:t>
            </w:r>
          </w:p>
        </w:tc>
        <w:tc>
          <w:tcPr>
            <w:tcW w:w="1134" w:type="dxa"/>
            <w:shd w:val="clear" w:color="auto" w:fill="auto"/>
            <w:vAlign w:val="center"/>
          </w:tcPr>
          <w:p w14:paraId="4E96B3FC">
            <w:pPr>
              <w:pStyle w:val="178"/>
              <w:rPr>
                <w:rFonts w:ascii="Times New Roman"/>
              </w:rPr>
            </w:pPr>
            <w:r>
              <w:rPr>
                <w:rFonts w:ascii="Times New Roman"/>
              </w:rPr>
              <w:t>752.4</w:t>
            </w:r>
          </w:p>
        </w:tc>
        <w:tc>
          <w:tcPr>
            <w:tcW w:w="1417" w:type="dxa"/>
            <w:shd w:val="clear" w:color="auto" w:fill="auto"/>
            <w:vAlign w:val="center"/>
          </w:tcPr>
          <w:p w14:paraId="12BD8981">
            <w:pPr>
              <w:pStyle w:val="178"/>
              <w:rPr>
                <w:rFonts w:ascii="Times New Roman"/>
              </w:rPr>
            </w:pPr>
            <w:r>
              <w:rPr>
                <w:rFonts w:ascii="Times New Roman"/>
              </w:rPr>
              <w:t>162.3</w:t>
            </w:r>
          </w:p>
        </w:tc>
        <w:tc>
          <w:tcPr>
            <w:tcW w:w="1134" w:type="dxa"/>
            <w:shd w:val="clear" w:color="auto" w:fill="auto"/>
            <w:vAlign w:val="center"/>
          </w:tcPr>
          <w:p w14:paraId="5E70D96C">
            <w:pPr>
              <w:pStyle w:val="178"/>
              <w:rPr>
                <w:rFonts w:ascii="Times New Roman"/>
              </w:rPr>
            </w:pPr>
            <w:r>
              <w:rPr>
                <w:rFonts w:ascii="Times New Roman"/>
              </w:rPr>
              <w:t>32</w:t>
            </w:r>
          </w:p>
        </w:tc>
        <w:tc>
          <w:tcPr>
            <w:tcW w:w="1426" w:type="dxa"/>
          </w:tcPr>
          <w:p w14:paraId="40E884C4">
            <w:pPr>
              <w:pStyle w:val="178"/>
              <w:rPr>
                <w:rFonts w:ascii="Times New Roman"/>
              </w:rPr>
            </w:pPr>
            <w:r>
              <w:rPr>
                <w:rFonts w:ascii="Times New Roman"/>
              </w:rPr>
              <w:t>－</w:t>
            </w:r>
          </w:p>
        </w:tc>
      </w:tr>
      <w:tr w14:paraId="54CB43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4D788EEA">
            <w:pPr>
              <w:pStyle w:val="178"/>
              <w:rPr>
                <w:rFonts w:ascii="Times New Roman"/>
              </w:rPr>
            </w:pPr>
            <w:r>
              <w:rPr>
                <w:rFonts w:ascii="Times New Roman"/>
              </w:rPr>
              <w:t>22</w:t>
            </w:r>
          </w:p>
        </w:tc>
        <w:tc>
          <w:tcPr>
            <w:tcW w:w="1615" w:type="dxa"/>
            <w:vAlign w:val="center"/>
          </w:tcPr>
          <w:p w14:paraId="7D18AF04">
            <w:pPr>
              <w:pStyle w:val="178"/>
              <w:rPr>
                <w:rFonts w:ascii="Times New Roman"/>
              </w:rPr>
            </w:pPr>
            <w:r>
              <w:rPr>
                <w:rFonts w:ascii="Times New Roman"/>
              </w:rPr>
              <w:t>罗红霉素-D</w:t>
            </w:r>
            <w:r>
              <w:rPr>
                <w:rFonts w:ascii="Times New Roman"/>
                <w:vertAlign w:val="subscript"/>
              </w:rPr>
              <w:t>7</w:t>
            </w:r>
          </w:p>
        </w:tc>
        <w:tc>
          <w:tcPr>
            <w:tcW w:w="845" w:type="dxa"/>
            <w:shd w:val="clear" w:color="auto" w:fill="auto"/>
            <w:vAlign w:val="center"/>
          </w:tcPr>
          <w:p w14:paraId="37A41B81">
            <w:pPr>
              <w:pStyle w:val="178"/>
              <w:rPr>
                <w:rFonts w:ascii="Times New Roman"/>
              </w:rPr>
            </w:pPr>
            <w:r>
              <w:rPr>
                <w:rFonts w:ascii="Times New Roman"/>
              </w:rPr>
              <w:t>12.55</w:t>
            </w:r>
          </w:p>
        </w:tc>
        <w:tc>
          <w:tcPr>
            <w:tcW w:w="1134" w:type="dxa"/>
            <w:shd w:val="clear" w:color="auto" w:fill="auto"/>
            <w:vAlign w:val="center"/>
          </w:tcPr>
          <w:p w14:paraId="276386B0">
            <w:pPr>
              <w:pStyle w:val="178"/>
              <w:rPr>
                <w:rFonts w:ascii="Times New Roman"/>
              </w:rPr>
            </w:pPr>
            <w:r>
              <w:rPr>
                <w:rFonts w:ascii="Times New Roman"/>
              </w:rPr>
              <w:t>844.7</w:t>
            </w:r>
          </w:p>
        </w:tc>
        <w:tc>
          <w:tcPr>
            <w:tcW w:w="1417" w:type="dxa"/>
            <w:shd w:val="clear" w:color="auto" w:fill="auto"/>
            <w:vAlign w:val="center"/>
          </w:tcPr>
          <w:p w14:paraId="352716D1">
            <w:pPr>
              <w:pStyle w:val="178"/>
              <w:rPr>
                <w:rFonts w:ascii="Times New Roman"/>
              </w:rPr>
            </w:pPr>
            <w:r>
              <w:rPr>
                <w:rFonts w:ascii="Times New Roman"/>
              </w:rPr>
              <w:t>686.5</w:t>
            </w:r>
          </w:p>
        </w:tc>
        <w:tc>
          <w:tcPr>
            <w:tcW w:w="1134" w:type="dxa"/>
            <w:shd w:val="clear" w:color="auto" w:fill="auto"/>
            <w:vAlign w:val="center"/>
          </w:tcPr>
          <w:p w14:paraId="7F5B648C">
            <w:pPr>
              <w:pStyle w:val="178"/>
              <w:rPr>
                <w:rFonts w:ascii="Times New Roman"/>
              </w:rPr>
            </w:pPr>
            <w:r>
              <w:rPr>
                <w:rFonts w:ascii="Times New Roman"/>
              </w:rPr>
              <w:t>33</w:t>
            </w:r>
          </w:p>
        </w:tc>
        <w:tc>
          <w:tcPr>
            <w:tcW w:w="1426" w:type="dxa"/>
          </w:tcPr>
          <w:p w14:paraId="0A4D779A">
            <w:pPr>
              <w:pStyle w:val="178"/>
              <w:rPr>
                <w:rFonts w:ascii="Times New Roman"/>
              </w:rPr>
            </w:pPr>
            <w:r>
              <w:rPr>
                <w:rFonts w:ascii="Times New Roman"/>
              </w:rPr>
              <w:t>－</w:t>
            </w:r>
          </w:p>
        </w:tc>
      </w:tr>
      <w:tr w14:paraId="650A68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1" w:hRule="atLeast"/>
          <w:jc w:val="center"/>
        </w:trPr>
        <w:tc>
          <w:tcPr>
            <w:tcW w:w="669" w:type="dxa"/>
            <w:shd w:val="clear" w:color="auto" w:fill="auto"/>
            <w:vAlign w:val="center"/>
          </w:tcPr>
          <w:p w14:paraId="7C5751A1">
            <w:pPr>
              <w:pStyle w:val="178"/>
              <w:rPr>
                <w:rFonts w:ascii="Times New Roman"/>
              </w:rPr>
            </w:pPr>
            <w:r>
              <w:rPr>
                <w:rFonts w:ascii="Times New Roman"/>
              </w:rPr>
              <w:t>23</w:t>
            </w:r>
          </w:p>
        </w:tc>
        <w:tc>
          <w:tcPr>
            <w:tcW w:w="1615" w:type="dxa"/>
            <w:vAlign w:val="center"/>
          </w:tcPr>
          <w:p w14:paraId="76195EE4">
            <w:pPr>
              <w:pStyle w:val="178"/>
              <w:rPr>
                <w:rFonts w:ascii="Times New Roman"/>
              </w:rPr>
            </w:pPr>
            <w:r>
              <w:rPr>
                <w:rFonts w:ascii="Times New Roman"/>
              </w:rPr>
              <w:t>四环素-D</w:t>
            </w:r>
            <w:r>
              <w:rPr>
                <w:rFonts w:ascii="Times New Roman"/>
                <w:vertAlign w:val="subscript"/>
              </w:rPr>
              <w:t>6</w:t>
            </w:r>
          </w:p>
        </w:tc>
        <w:tc>
          <w:tcPr>
            <w:tcW w:w="845" w:type="dxa"/>
            <w:shd w:val="clear" w:color="auto" w:fill="auto"/>
            <w:vAlign w:val="center"/>
          </w:tcPr>
          <w:p w14:paraId="683ACF7C">
            <w:pPr>
              <w:pStyle w:val="178"/>
              <w:rPr>
                <w:rFonts w:ascii="Times New Roman"/>
              </w:rPr>
            </w:pPr>
            <w:r>
              <w:rPr>
                <w:rFonts w:ascii="Times New Roman"/>
              </w:rPr>
              <w:t>6.60</w:t>
            </w:r>
          </w:p>
        </w:tc>
        <w:tc>
          <w:tcPr>
            <w:tcW w:w="1134" w:type="dxa"/>
            <w:shd w:val="clear" w:color="auto" w:fill="auto"/>
            <w:vAlign w:val="center"/>
          </w:tcPr>
          <w:p w14:paraId="2D3A3E93">
            <w:pPr>
              <w:pStyle w:val="178"/>
              <w:rPr>
                <w:rFonts w:ascii="Times New Roman"/>
              </w:rPr>
            </w:pPr>
            <w:r>
              <w:rPr>
                <w:rFonts w:ascii="Times New Roman"/>
              </w:rPr>
              <w:t>451.1</w:t>
            </w:r>
          </w:p>
        </w:tc>
        <w:tc>
          <w:tcPr>
            <w:tcW w:w="1417" w:type="dxa"/>
            <w:shd w:val="clear" w:color="auto" w:fill="auto"/>
            <w:vAlign w:val="center"/>
          </w:tcPr>
          <w:p w14:paraId="01D00A5F">
            <w:pPr>
              <w:pStyle w:val="178"/>
              <w:rPr>
                <w:rFonts w:ascii="Times New Roman"/>
              </w:rPr>
            </w:pPr>
            <w:r>
              <w:rPr>
                <w:rFonts w:ascii="Times New Roman"/>
              </w:rPr>
              <w:t>416.1</w:t>
            </w:r>
          </w:p>
        </w:tc>
        <w:tc>
          <w:tcPr>
            <w:tcW w:w="1134" w:type="dxa"/>
            <w:shd w:val="clear" w:color="auto" w:fill="auto"/>
            <w:vAlign w:val="center"/>
          </w:tcPr>
          <w:p w14:paraId="2F838BC2">
            <w:pPr>
              <w:pStyle w:val="178"/>
              <w:rPr>
                <w:rFonts w:ascii="Times New Roman"/>
              </w:rPr>
            </w:pPr>
            <w:r>
              <w:rPr>
                <w:rFonts w:ascii="Times New Roman"/>
              </w:rPr>
              <w:t>29</w:t>
            </w:r>
          </w:p>
        </w:tc>
        <w:tc>
          <w:tcPr>
            <w:tcW w:w="1426" w:type="dxa"/>
          </w:tcPr>
          <w:p w14:paraId="12C247AF">
            <w:pPr>
              <w:pStyle w:val="178"/>
              <w:rPr>
                <w:rFonts w:ascii="Times New Roman"/>
              </w:rPr>
            </w:pPr>
            <w:r>
              <w:rPr>
                <w:rFonts w:ascii="Times New Roman"/>
              </w:rPr>
              <w:t>－</w:t>
            </w:r>
          </w:p>
        </w:tc>
      </w:tr>
      <w:tr w14:paraId="63F504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48" w:hRule="atLeast"/>
          <w:jc w:val="center"/>
        </w:trPr>
        <w:tc>
          <w:tcPr>
            <w:tcW w:w="669" w:type="dxa"/>
            <w:shd w:val="clear" w:color="auto" w:fill="auto"/>
            <w:vAlign w:val="center"/>
          </w:tcPr>
          <w:p w14:paraId="11D0AE1E">
            <w:pPr>
              <w:pStyle w:val="178"/>
              <w:rPr>
                <w:rFonts w:ascii="Times New Roman"/>
              </w:rPr>
            </w:pPr>
            <w:r>
              <w:rPr>
                <w:rFonts w:ascii="Times New Roman"/>
              </w:rPr>
              <w:t>24</w:t>
            </w:r>
          </w:p>
        </w:tc>
        <w:tc>
          <w:tcPr>
            <w:tcW w:w="1615" w:type="dxa"/>
            <w:vAlign w:val="center"/>
          </w:tcPr>
          <w:p w14:paraId="75DCED0A">
            <w:pPr>
              <w:pStyle w:val="178"/>
              <w:rPr>
                <w:rFonts w:ascii="Times New Roman"/>
              </w:rPr>
            </w:pPr>
            <w:r>
              <w:rPr>
                <w:rFonts w:ascii="Times New Roman"/>
              </w:rPr>
              <w:t>强力霉素-D</w:t>
            </w:r>
            <w:r>
              <w:rPr>
                <w:rFonts w:ascii="Times New Roman"/>
                <w:vertAlign w:val="subscript"/>
              </w:rPr>
              <w:t>3</w:t>
            </w:r>
          </w:p>
        </w:tc>
        <w:tc>
          <w:tcPr>
            <w:tcW w:w="845" w:type="dxa"/>
            <w:shd w:val="clear" w:color="auto" w:fill="auto"/>
            <w:vAlign w:val="center"/>
          </w:tcPr>
          <w:p w14:paraId="45EF2EDE">
            <w:pPr>
              <w:pStyle w:val="178"/>
              <w:rPr>
                <w:rFonts w:ascii="Times New Roman"/>
              </w:rPr>
            </w:pPr>
            <w:r>
              <w:rPr>
                <w:rFonts w:ascii="Times New Roman"/>
              </w:rPr>
              <w:t>9.31</w:t>
            </w:r>
          </w:p>
        </w:tc>
        <w:tc>
          <w:tcPr>
            <w:tcW w:w="1134" w:type="dxa"/>
            <w:shd w:val="clear" w:color="auto" w:fill="auto"/>
            <w:vAlign w:val="center"/>
          </w:tcPr>
          <w:p w14:paraId="69866167">
            <w:pPr>
              <w:pStyle w:val="178"/>
              <w:rPr>
                <w:rFonts w:ascii="Times New Roman"/>
              </w:rPr>
            </w:pPr>
            <w:r>
              <w:rPr>
                <w:rFonts w:ascii="Times New Roman"/>
              </w:rPr>
              <w:t>448.3</w:t>
            </w:r>
          </w:p>
        </w:tc>
        <w:tc>
          <w:tcPr>
            <w:tcW w:w="1417" w:type="dxa"/>
            <w:shd w:val="clear" w:color="auto" w:fill="auto"/>
            <w:vAlign w:val="center"/>
          </w:tcPr>
          <w:p w14:paraId="4AD20B29">
            <w:pPr>
              <w:pStyle w:val="178"/>
              <w:rPr>
                <w:rFonts w:ascii="Times New Roman"/>
              </w:rPr>
            </w:pPr>
            <w:r>
              <w:rPr>
                <w:rFonts w:ascii="Times New Roman"/>
              </w:rPr>
              <w:t>431.0</w:t>
            </w:r>
          </w:p>
        </w:tc>
        <w:tc>
          <w:tcPr>
            <w:tcW w:w="1134" w:type="dxa"/>
            <w:shd w:val="clear" w:color="auto" w:fill="auto"/>
            <w:vAlign w:val="center"/>
          </w:tcPr>
          <w:p w14:paraId="10F0E8B9">
            <w:pPr>
              <w:pStyle w:val="178"/>
              <w:rPr>
                <w:rFonts w:ascii="Times New Roman"/>
              </w:rPr>
            </w:pPr>
            <w:r>
              <w:rPr>
                <w:rFonts w:ascii="Times New Roman"/>
              </w:rPr>
              <w:t>26</w:t>
            </w:r>
          </w:p>
        </w:tc>
        <w:tc>
          <w:tcPr>
            <w:tcW w:w="1426" w:type="dxa"/>
          </w:tcPr>
          <w:p w14:paraId="16B8ABFC">
            <w:pPr>
              <w:pStyle w:val="178"/>
              <w:rPr>
                <w:rFonts w:ascii="Times New Roman"/>
              </w:rPr>
            </w:pPr>
            <w:r>
              <w:rPr>
                <w:rFonts w:ascii="Times New Roman"/>
              </w:rPr>
              <w:t>－</w:t>
            </w:r>
          </w:p>
        </w:tc>
      </w:tr>
      <w:tr w14:paraId="52B29E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5C1733C1">
            <w:pPr>
              <w:pStyle w:val="178"/>
              <w:rPr>
                <w:rFonts w:ascii="Times New Roman"/>
              </w:rPr>
            </w:pPr>
            <w:r>
              <w:rPr>
                <w:rFonts w:ascii="Times New Roman"/>
              </w:rPr>
              <w:t>25</w:t>
            </w:r>
          </w:p>
        </w:tc>
        <w:tc>
          <w:tcPr>
            <w:tcW w:w="1615" w:type="dxa"/>
            <w:vAlign w:val="center"/>
          </w:tcPr>
          <w:p w14:paraId="34C3EC36">
            <w:pPr>
              <w:pStyle w:val="178"/>
              <w:rPr>
                <w:rFonts w:ascii="Times New Roman"/>
              </w:rPr>
            </w:pPr>
            <w:r>
              <w:rPr>
                <w:rFonts w:ascii="Times New Roman"/>
              </w:rPr>
              <w:t>恩诺沙星-D</w:t>
            </w:r>
            <w:r>
              <w:rPr>
                <w:rFonts w:ascii="Times New Roman"/>
                <w:vertAlign w:val="subscript"/>
              </w:rPr>
              <w:t>5</w:t>
            </w:r>
          </w:p>
        </w:tc>
        <w:tc>
          <w:tcPr>
            <w:tcW w:w="845" w:type="dxa"/>
            <w:shd w:val="clear" w:color="auto" w:fill="auto"/>
            <w:vAlign w:val="center"/>
          </w:tcPr>
          <w:p w14:paraId="084D4344">
            <w:pPr>
              <w:pStyle w:val="178"/>
              <w:rPr>
                <w:rFonts w:ascii="Times New Roman"/>
              </w:rPr>
            </w:pPr>
            <w:r>
              <w:rPr>
                <w:rFonts w:ascii="Times New Roman"/>
              </w:rPr>
              <w:t>6.70</w:t>
            </w:r>
          </w:p>
        </w:tc>
        <w:tc>
          <w:tcPr>
            <w:tcW w:w="1134" w:type="dxa"/>
            <w:shd w:val="clear" w:color="auto" w:fill="auto"/>
            <w:vAlign w:val="center"/>
          </w:tcPr>
          <w:p w14:paraId="07C02602">
            <w:pPr>
              <w:pStyle w:val="178"/>
              <w:rPr>
                <w:rFonts w:ascii="Times New Roman"/>
              </w:rPr>
            </w:pPr>
            <w:r>
              <w:rPr>
                <w:rFonts w:ascii="Times New Roman"/>
              </w:rPr>
              <w:t>365.3</w:t>
            </w:r>
          </w:p>
        </w:tc>
        <w:tc>
          <w:tcPr>
            <w:tcW w:w="1417" w:type="dxa"/>
            <w:shd w:val="clear" w:color="auto" w:fill="auto"/>
            <w:vAlign w:val="center"/>
          </w:tcPr>
          <w:p w14:paraId="51508A2B">
            <w:pPr>
              <w:pStyle w:val="178"/>
              <w:rPr>
                <w:rFonts w:ascii="Times New Roman"/>
              </w:rPr>
            </w:pPr>
            <w:r>
              <w:rPr>
                <w:rFonts w:ascii="Times New Roman"/>
              </w:rPr>
              <w:t>245.2</w:t>
            </w:r>
          </w:p>
        </w:tc>
        <w:tc>
          <w:tcPr>
            <w:tcW w:w="1134" w:type="dxa"/>
            <w:shd w:val="clear" w:color="auto" w:fill="auto"/>
            <w:vAlign w:val="center"/>
          </w:tcPr>
          <w:p w14:paraId="05E78913">
            <w:pPr>
              <w:pStyle w:val="178"/>
              <w:rPr>
                <w:rFonts w:ascii="Times New Roman"/>
              </w:rPr>
            </w:pPr>
            <w:r>
              <w:rPr>
                <w:rFonts w:ascii="Times New Roman"/>
              </w:rPr>
              <w:t>36</w:t>
            </w:r>
          </w:p>
        </w:tc>
        <w:tc>
          <w:tcPr>
            <w:tcW w:w="1426" w:type="dxa"/>
          </w:tcPr>
          <w:p w14:paraId="6A62C9A3">
            <w:pPr>
              <w:pStyle w:val="178"/>
              <w:rPr>
                <w:rFonts w:ascii="Times New Roman"/>
              </w:rPr>
            </w:pPr>
            <w:r>
              <w:rPr>
                <w:rFonts w:ascii="Times New Roman"/>
              </w:rPr>
              <w:t>－</w:t>
            </w:r>
          </w:p>
        </w:tc>
      </w:tr>
      <w:tr w14:paraId="21D466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1" w:hRule="atLeast"/>
          <w:jc w:val="center"/>
        </w:trPr>
        <w:tc>
          <w:tcPr>
            <w:tcW w:w="669" w:type="dxa"/>
            <w:shd w:val="clear" w:color="auto" w:fill="auto"/>
            <w:vAlign w:val="center"/>
          </w:tcPr>
          <w:p w14:paraId="7863BCE0">
            <w:pPr>
              <w:pStyle w:val="178"/>
              <w:rPr>
                <w:rFonts w:ascii="Times New Roman"/>
              </w:rPr>
            </w:pPr>
            <w:r>
              <w:rPr>
                <w:rFonts w:ascii="Times New Roman"/>
              </w:rPr>
              <w:t>26</w:t>
            </w:r>
          </w:p>
        </w:tc>
        <w:tc>
          <w:tcPr>
            <w:tcW w:w="1615" w:type="dxa"/>
            <w:vAlign w:val="center"/>
          </w:tcPr>
          <w:p w14:paraId="3F371D35">
            <w:pPr>
              <w:pStyle w:val="178"/>
              <w:rPr>
                <w:rFonts w:ascii="Times New Roman"/>
              </w:rPr>
            </w:pPr>
            <w:r>
              <w:rPr>
                <w:rFonts w:ascii="Times New Roman"/>
              </w:rPr>
              <w:t>培氟沙星-D</w:t>
            </w:r>
            <w:r>
              <w:rPr>
                <w:rFonts w:ascii="Times New Roman"/>
                <w:vertAlign w:val="subscript"/>
              </w:rPr>
              <w:t>3</w:t>
            </w:r>
          </w:p>
        </w:tc>
        <w:tc>
          <w:tcPr>
            <w:tcW w:w="845" w:type="dxa"/>
            <w:shd w:val="clear" w:color="auto" w:fill="auto"/>
            <w:vAlign w:val="center"/>
          </w:tcPr>
          <w:p w14:paraId="48F74C89">
            <w:pPr>
              <w:pStyle w:val="178"/>
              <w:rPr>
                <w:rFonts w:ascii="Times New Roman"/>
              </w:rPr>
            </w:pPr>
            <w:r>
              <w:rPr>
                <w:rFonts w:ascii="Times New Roman"/>
              </w:rPr>
              <w:t>5.97</w:t>
            </w:r>
          </w:p>
        </w:tc>
        <w:tc>
          <w:tcPr>
            <w:tcW w:w="1134" w:type="dxa"/>
            <w:shd w:val="clear" w:color="auto" w:fill="auto"/>
            <w:vAlign w:val="center"/>
          </w:tcPr>
          <w:p w14:paraId="04C80D0A">
            <w:pPr>
              <w:pStyle w:val="178"/>
              <w:rPr>
                <w:rFonts w:ascii="Times New Roman"/>
              </w:rPr>
            </w:pPr>
            <w:r>
              <w:rPr>
                <w:rFonts w:ascii="Times New Roman"/>
              </w:rPr>
              <w:t>337.2</w:t>
            </w:r>
          </w:p>
        </w:tc>
        <w:tc>
          <w:tcPr>
            <w:tcW w:w="1417" w:type="dxa"/>
            <w:shd w:val="clear" w:color="auto" w:fill="auto"/>
            <w:vAlign w:val="center"/>
          </w:tcPr>
          <w:p w14:paraId="7B51E88D">
            <w:pPr>
              <w:pStyle w:val="178"/>
              <w:rPr>
                <w:rFonts w:ascii="Times New Roman"/>
              </w:rPr>
            </w:pPr>
            <w:r>
              <w:rPr>
                <w:rFonts w:ascii="Times New Roman"/>
              </w:rPr>
              <w:t>293.1</w:t>
            </w:r>
          </w:p>
        </w:tc>
        <w:tc>
          <w:tcPr>
            <w:tcW w:w="1134" w:type="dxa"/>
            <w:shd w:val="clear" w:color="auto" w:fill="auto"/>
            <w:vAlign w:val="center"/>
          </w:tcPr>
          <w:p w14:paraId="44731185">
            <w:pPr>
              <w:pStyle w:val="178"/>
              <w:rPr>
                <w:rFonts w:ascii="Times New Roman"/>
              </w:rPr>
            </w:pPr>
            <w:r>
              <w:rPr>
                <w:rFonts w:ascii="Times New Roman"/>
              </w:rPr>
              <w:t>27</w:t>
            </w:r>
          </w:p>
        </w:tc>
        <w:tc>
          <w:tcPr>
            <w:tcW w:w="1426" w:type="dxa"/>
          </w:tcPr>
          <w:p w14:paraId="30ABBC02">
            <w:pPr>
              <w:pStyle w:val="178"/>
              <w:rPr>
                <w:rFonts w:ascii="Times New Roman"/>
              </w:rPr>
            </w:pPr>
            <w:r>
              <w:rPr>
                <w:rFonts w:ascii="Times New Roman"/>
              </w:rPr>
              <w:t>－</w:t>
            </w:r>
          </w:p>
        </w:tc>
      </w:tr>
      <w:tr w14:paraId="3C3B14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764C61AE">
            <w:pPr>
              <w:pStyle w:val="178"/>
              <w:rPr>
                <w:rFonts w:ascii="Times New Roman"/>
              </w:rPr>
            </w:pPr>
            <w:r>
              <w:rPr>
                <w:rFonts w:ascii="Times New Roman"/>
              </w:rPr>
              <w:t>27</w:t>
            </w:r>
          </w:p>
        </w:tc>
        <w:tc>
          <w:tcPr>
            <w:tcW w:w="1615" w:type="dxa"/>
            <w:vAlign w:val="center"/>
          </w:tcPr>
          <w:p w14:paraId="4447F7D7">
            <w:pPr>
              <w:pStyle w:val="178"/>
              <w:rPr>
                <w:rFonts w:ascii="Times New Roman"/>
              </w:rPr>
            </w:pPr>
            <w:r>
              <w:rPr>
                <w:rFonts w:ascii="Times New Roman"/>
              </w:rPr>
              <w:t>二氟沙星-D</w:t>
            </w:r>
            <w:r>
              <w:rPr>
                <w:rFonts w:ascii="Times New Roman"/>
                <w:vertAlign w:val="subscript"/>
              </w:rPr>
              <w:t>3</w:t>
            </w:r>
          </w:p>
        </w:tc>
        <w:tc>
          <w:tcPr>
            <w:tcW w:w="845" w:type="dxa"/>
            <w:shd w:val="clear" w:color="auto" w:fill="auto"/>
            <w:vAlign w:val="center"/>
          </w:tcPr>
          <w:p w14:paraId="75DEB19E">
            <w:pPr>
              <w:pStyle w:val="178"/>
              <w:rPr>
                <w:rFonts w:ascii="Times New Roman"/>
              </w:rPr>
            </w:pPr>
            <w:r>
              <w:rPr>
                <w:rFonts w:ascii="Times New Roman"/>
              </w:rPr>
              <w:t>7.75</w:t>
            </w:r>
          </w:p>
        </w:tc>
        <w:tc>
          <w:tcPr>
            <w:tcW w:w="1134" w:type="dxa"/>
            <w:shd w:val="clear" w:color="auto" w:fill="auto"/>
            <w:vAlign w:val="center"/>
          </w:tcPr>
          <w:p w14:paraId="281EAFC2">
            <w:pPr>
              <w:pStyle w:val="178"/>
              <w:rPr>
                <w:rFonts w:ascii="Times New Roman"/>
              </w:rPr>
            </w:pPr>
            <w:r>
              <w:rPr>
                <w:rFonts w:ascii="Times New Roman"/>
              </w:rPr>
              <w:t>403.1</w:t>
            </w:r>
          </w:p>
        </w:tc>
        <w:tc>
          <w:tcPr>
            <w:tcW w:w="1417" w:type="dxa"/>
            <w:shd w:val="clear" w:color="auto" w:fill="auto"/>
            <w:vAlign w:val="center"/>
          </w:tcPr>
          <w:p w14:paraId="797AFDD0">
            <w:pPr>
              <w:pStyle w:val="178"/>
              <w:rPr>
                <w:rFonts w:ascii="Times New Roman"/>
              </w:rPr>
            </w:pPr>
            <w:r>
              <w:rPr>
                <w:rFonts w:ascii="Times New Roman"/>
              </w:rPr>
              <w:t>359.2</w:t>
            </w:r>
          </w:p>
        </w:tc>
        <w:tc>
          <w:tcPr>
            <w:tcW w:w="1134" w:type="dxa"/>
            <w:shd w:val="clear" w:color="auto" w:fill="auto"/>
            <w:vAlign w:val="center"/>
          </w:tcPr>
          <w:p w14:paraId="00670B37">
            <w:pPr>
              <w:pStyle w:val="178"/>
              <w:rPr>
                <w:rFonts w:ascii="Times New Roman"/>
              </w:rPr>
            </w:pPr>
            <w:r>
              <w:rPr>
                <w:rFonts w:ascii="Times New Roman"/>
              </w:rPr>
              <w:t>29</w:t>
            </w:r>
          </w:p>
        </w:tc>
        <w:tc>
          <w:tcPr>
            <w:tcW w:w="1426" w:type="dxa"/>
          </w:tcPr>
          <w:p w14:paraId="49630095">
            <w:pPr>
              <w:pStyle w:val="178"/>
              <w:rPr>
                <w:rFonts w:ascii="Times New Roman"/>
              </w:rPr>
            </w:pPr>
            <w:r>
              <w:rPr>
                <w:rFonts w:ascii="Times New Roman"/>
              </w:rPr>
              <w:t>－</w:t>
            </w:r>
          </w:p>
        </w:tc>
      </w:tr>
      <w:tr w14:paraId="191776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0AFC9A34">
            <w:pPr>
              <w:pStyle w:val="178"/>
              <w:rPr>
                <w:rFonts w:ascii="Times New Roman"/>
              </w:rPr>
            </w:pPr>
            <w:r>
              <w:rPr>
                <w:rFonts w:ascii="Times New Roman"/>
              </w:rPr>
              <w:t>28</w:t>
            </w:r>
          </w:p>
        </w:tc>
        <w:tc>
          <w:tcPr>
            <w:tcW w:w="1615" w:type="dxa"/>
            <w:vAlign w:val="center"/>
          </w:tcPr>
          <w:p w14:paraId="4456046C">
            <w:pPr>
              <w:pStyle w:val="178"/>
              <w:rPr>
                <w:rFonts w:ascii="Times New Roman"/>
              </w:rPr>
            </w:pPr>
            <w:r>
              <w:rPr>
                <w:rFonts w:ascii="Times New Roman"/>
              </w:rPr>
              <w:t>洛美沙星-D</w:t>
            </w:r>
            <w:r>
              <w:rPr>
                <w:rFonts w:ascii="Times New Roman"/>
                <w:vertAlign w:val="subscript"/>
              </w:rPr>
              <w:t>5</w:t>
            </w:r>
          </w:p>
        </w:tc>
        <w:tc>
          <w:tcPr>
            <w:tcW w:w="845" w:type="dxa"/>
            <w:shd w:val="clear" w:color="auto" w:fill="auto"/>
            <w:vAlign w:val="center"/>
          </w:tcPr>
          <w:p w14:paraId="59DE395E">
            <w:pPr>
              <w:pStyle w:val="178"/>
              <w:rPr>
                <w:rFonts w:ascii="Times New Roman"/>
              </w:rPr>
            </w:pPr>
            <w:r>
              <w:rPr>
                <w:rFonts w:ascii="Times New Roman"/>
              </w:rPr>
              <w:t>6.39</w:t>
            </w:r>
          </w:p>
        </w:tc>
        <w:tc>
          <w:tcPr>
            <w:tcW w:w="1134" w:type="dxa"/>
            <w:shd w:val="clear" w:color="auto" w:fill="auto"/>
            <w:vAlign w:val="center"/>
          </w:tcPr>
          <w:p w14:paraId="7A011D8E">
            <w:pPr>
              <w:pStyle w:val="178"/>
              <w:rPr>
                <w:rFonts w:ascii="Times New Roman"/>
              </w:rPr>
            </w:pPr>
            <w:r>
              <w:rPr>
                <w:rFonts w:ascii="Times New Roman"/>
              </w:rPr>
              <w:t>357.2</w:t>
            </w:r>
          </w:p>
        </w:tc>
        <w:tc>
          <w:tcPr>
            <w:tcW w:w="1417" w:type="dxa"/>
            <w:shd w:val="clear" w:color="auto" w:fill="auto"/>
            <w:vAlign w:val="center"/>
          </w:tcPr>
          <w:p w14:paraId="51D9ABE4">
            <w:pPr>
              <w:pStyle w:val="178"/>
              <w:rPr>
                <w:rFonts w:ascii="Times New Roman"/>
              </w:rPr>
            </w:pPr>
            <w:r>
              <w:rPr>
                <w:rFonts w:ascii="Times New Roman"/>
              </w:rPr>
              <w:t>270.1</w:t>
            </w:r>
          </w:p>
        </w:tc>
        <w:tc>
          <w:tcPr>
            <w:tcW w:w="1134" w:type="dxa"/>
            <w:shd w:val="clear" w:color="auto" w:fill="auto"/>
            <w:vAlign w:val="center"/>
          </w:tcPr>
          <w:p w14:paraId="56719607">
            <w:pPr>
              <w:pStyle w:val="178"/>
              <w:rPr>
                <w:rFonts w:ascii="Times New Roman"/>
              </w:rPr>
            </w:pPr>
            <w:r>
              <w:rPr>
                <w:rFonts w:ascii="Times New Roman"/>
              </w:rPr>
              <w:t>34</w:t>
            </w:r>
          </w:p>
        </w:tc>
        <w:tc>
          <w:tcPr>
            <w:tcW w:w="1426" w:type="dxa"/>
          </w:tcPr>
          <w:p w14:paraId="1C45435E">
            <w:pPr>
              <w:pStyle w:val="178"/>
              <w:rPr>
                <w:rFonts w:ascii="Times New Roman"/>
              </w:rPr>
            </w:pPr>
            <w:r>
              <w:rPr>
                <w:rFonts w:ascii="Times New Roman"/>
              </w:rPr>
              <w:t>－</w:t>
            </w:r>
          </w:p>
        </w:tc>
      </w:tr>
      <w:tr w14:paraId="17B140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1" w:hRule="atLeast"/>
          <w:jc w:val="center"/>
        </w:trPr>
        <w:tc>
          <w:tcPr>
            <w:tcW w:w="669" w:type="dxa"/>
            <w:shd w:val="clear" w:color="auto" w:fill="auto"/>
            <w:vAlign w:val="center"/>
          </w:tcPr>
          <w:p w14:paraId="22323934">
            <w:pPr>
              <w:pStyle w:val="178"/>
              <w:rPr>
                <w:rFonts w:ascii="Times New Roman"/>
              </w:rPr>
            </w:pPr>
            <w:r>
              <w:rPr>
                <w:rFonts w:ascii="Times New Roman"/>
              </w:rPr>
              <w:t>29</w:t>
            </w:r>
          </w:p>
        </w:tc>
        <w:tc>
          <w:tcPr>
            <w:tcW w:w="1615" w:type="dxa"/>
            <w:vAlign w:val="center"/>
          </w:tcPr>
          <w:p w14:paraId="48A6E433">
            <w:pPr>
              <w:pStyle w:val="178"/>
              <w:rPr>
                <w:rFonts w:ascii="Times New Roman"/>
              </w:rPr>
            </w:pPr>
            <w:r>
              <w:rPr>
                <w:rFonts w:ascii="Times New Roman"/>
              </w:rPr>
              <w:t>磺胺二甲嘧啶-D</w:t>
            </w:r>
            <w:r>
              <w:rPr>
                <w:rFonts w:ascii="Times New Roman"/>
                <w:vertAlign w:val="subscript"/>
              </w:rPr>
              <w:t>4</w:t>
            </w:r>
          </w:p>
        </w:tc>
        <w:tc>
          <w:tcPr>
            <w:tcW w:w="845" w:type="dxa"/>
            <w:shd w:val="clear" w:color="auto" w:fill="auto"/>
            <w:vAlign w:val="center"/>
          </w:tcPr>
          <w:p w14:paraId="34C0EB9B">
            <w:pPr>
              <w:pStyle w:val="178"/>
              <w:rPr>
                <w:rFonts w:ascii="Times New Roman"/>
              </w:rPr>
            </w:pPr>
            <w:r>
              <w:rPr>
                <w:rFonts w:ascii="Times New Roman"/>
              </w:rPr>
              <w:t>7.18</w:t>
            </w:r>
          </w:p>
        </w:tc>
        <w:tc>
          <w:tcPr>
            <w:tcW w:w="1134" w:type="dxa"/>
            <w:shd w:val="clear" w:color="auto" w:fill="auto"/>
            <w:vAlign w:val="center"/>
          </w:tcPr>
          <w:p w14:paraId="68EB5ADD">
            <w:pPr>
              <w:pStyle w:val="178"/>
              <w:rPr>
                <w:rFonts w:ascii="Times New Roman"/>
              </w:rPr>
            </w:pPr>
            <w:r>
              <w:rPr>
                <w:rFonts w:ascii="Times New Roman"/>
              </w:rPr>
              <w:t>283.0</w:t>
            </w:r>
          </w:p>
        </w:tc>
        <w:tc>
          <w:tcPr>
            <w:tcW w:w="1417" w:type="dxa"/>
            <w:shd w:val="clear" w:color="auto" w:fill="auto"/>
            <w:vAlign w:val="center"/>
          </w:tcPr>
          <w:p w14:paraId="338CE1F1">
            <w:pPr>
              <w:pStyle w:val="178"/>
              <w:rPr>
                <w:rFonts w:ascii="Times New Roman"/>
              </w:rPr>
            </w:pPr>
            <w:r>
              <w:rPr>
                <w:rFonts w:ascii="Times New Roman"/>
              </w:rPr>
              <w:t>186.1</w:t>
            </w:r>
          </w:p>
        </w:tc>
        <w:tc>
          <w:tcPr>
            <w:tcW w:w="1134" w:type="dxa"/>
            <w:shd w:val="clear" w:color="auto" w:fill="auto"/>
            <w:vAlign w:val="center"/>
          </w:tcPr>
          <w:p w14:paraId="3BA7F043">
            <w:pPr>
              <w:pStyle w:val="178"/>
              <w:rPr>
                <w:rFonts w:ascii="Times New Roman"/>
              </w:rPr>
            </w:pPr>
            <w:r>
              <w:rPr>
                <w:rFonts w:ascii="Times New Roman"/>
              </w:rPr>
              <w:t>26</w:t>
            </w:r>
          </w:p>
        </w:tc>
        <w:tc>
          <w:tcPr>
            <w:tcW w:w="1426" w:type="dxa"/>
          </w:tcPr>
          <w:p w14:paraId="21B6893E">
            <w:pPr>
              <w:pStyle w:val="178"/>
              <w:rPr>
                <w:rFonts w:ascii="Times New Roman"/>
              </w:rPr>
            </w:pPr>
            <w:r>
              <w:rPr>
                <w:rFonts w:ascii="Times New Roman"/>
              </w:rPr>
              <w:t>－</w:t>
            </w:r>
          </w:p>
        </w:tc>
      </w:tr>
      <w:tr w14:paraId="1695D6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685E8B51">
            <w:pPr>
              <w:pStyle w:val="178"/>
              <w:rPr>
                <w:rFonts w:ascii="Times New Roman"/>
              </w:rPr>
            </w:pPr>
            <w:r>
              <w:rPr>
                <w:rFonts w:ascii="Times New Roman"/>
              </w:rPr>
              <w:t>30</w:t>
            </w:r>
          </w:p>
        </w:tc>
        <w:tc>
          <w:tcPr>
            <w:tcW w:w="1615" w:type="dxa"/>
            <w:vAlign w:val="center"/>
          </w:tcPr>
          <w:p w14:paraId="5F518B66">
            <w:pPr>
              <w:pStyle w:val="178"/>
              <w:rPr>
                <w:rFonts w:ascii="Times New Roman"/>
              </w:rPr>
            </w:pPr>
            <w:r>
              <w:rPr>
                <w:rFonts w:ascii="Times New Roman"/>
              </w:rPr>
              <w:t>磺胺甲噁唑-</w:t>
            </w:r>
            <w:r>
              <w:rPr>
                <w:rFonts w:ascii="Times New Roman"/>
                <w:vertAlign w:val="superscript"/>
              </w:rPr>
              <w:t>13</w:t>
            </w:r>
            <w:r>
              <w:rPr>
                <w:rFonts w:ascii="Times New Roman"/>
              </w:rPr>
              <w:t>C</w:t>
            </w:r>
            <w:r>
              <w:rPr>
                <w:rFonts w:ascii="Times New Roman"/>
                <w:vertAlign w:val="subscript"/>
              </w:rPr>
              <w:t>6</w:t>
            </w:r>
          </w:p>
        </w:tc>
        <w:tc>
          <w:tcPr>
            <w:tcW w:w="845" w:type="dxa"/>
            <w:shd w:val="clear" w:color="auto" w:fill="auto"/>
            <w:vAlign w:val="center"/>
          </w:tcPr>
          <w:p w14:paraId="3289CB4D">
            <w:pPr>
              <w:pStyle w:val="178"/>
              <w:rPr>
                <w:rFonts w:ascii="Times New Roman"/>
              </w:rPr>
            </w:pPr>
            <w:r>
              <w:rPr>
                <w:rFonts w:ascii="Times New Roman"/>
              </w:rPr>
              <w:t>9.56</w:t>
            </w:r>
          </w:p>
        </w:tc>
        <w:tc>
          <w:tcPr>
            <w:tcW w:w="1134" w:type="dxa"/>
            <w:shd w:val="clear" w:color="auto" w:fill="auto"/>
            <w:vAlign w:val="center"/>
          </w:tcPr>
          <w:p w14:paraId="4BC427E9">
            <w:pPr>
              <w:pStyle w:val="178"/>
              <w:rPr>
                <w:rFonts w:ascii="Times New Roman"/>
              </w:rPr>
            </w:pPr>
            <w:r>
              <w:rPr>
                <w:rFonts w:ascii="Times New Roman"/>
              </w:rPr>
              <w:t>260.1</w:t>
            </w:r>
          </w:p>
        </w:tc>
        <w:tc>
          <w:tcPr>
            <w:tcW w:w="1417" w:type="dxa"/>
            <w:shd w:val="clear" w:color="auto" w:fill="auto"/>
            <w:vAlign w:val="center"/>
          </w:tcPr>
          <w:p w14:paraId="662E6065">
            <w:pPr>
              <w:pStyle w:val="178"/>
              <w:rPr>
                <w:rFonts w:ascii="Times New Roman"/>
              </w:rPr>
            </w:pPr>
            <w:r>
              <w:rPr>
                <w:rFonts w:ascii="Times New Roman"/>
              </w:rPr>
              <w:t>162.0</w:t>
            </w:r>
          </w:p>
        </w:tc>
        <w:tc>
          <w:tcPr>
            <w:tcW w:w="1134" w:type="dxa"/>
            <w:shd w:val="clear" w:color="auto" w:fill="auto"/>
            <w:vAlign w:val="center"/>
          </w:tcPr>
          <w:p w14:paraId="78C10E7B">
            <w:pPr>
              <w:pStyle w:val="178"/>
              <w:rPr>
                <w:rFonts w:ascii="Times New Roman"/>
              </w:rPr>
            </w:pPr>
            <w:r>
              <w:rPr>
                <w:rFonts w:ascii="Times New Roman"/>
              </w:rPr>
              <w:t>25</w:t>
            </w:r>
          </w:p>
        </w:tc>
        <w:tc>
          <w:tcPr>
            <w:tcW w:w="1426" w:type="dxa"/>
          </w:tcPr>
          <w:p w14:paraId="3D8994C3">
            <w:pPr>
              <w:pStyle w:val="178"/>
              <w:rPr>
                <w:rFonts w:ascii="Times New Roman"/>
              </w:rPr>
            </w:pPr>
            <w:r>
              <w:rPr>
                <w:rFonts w:ascii="Times New Roman"/>
              </w:rPr>
              <w:t>－</w:t>
            </w:r>
          </w:p>
        </w:tc>
      </w:tr>
      <w:tr w14:paraId="7AF7CF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1" w:hRule="atLeast"/>
          <w:jc w:val="center"/>
        </w:trPr>
        <w:tc>
          <w:tcPr>
            <w:tcW w:w="669" w:type="dxa"/>
            <w:shd w:val="clear" w:color="auto" w:fill="auto"/>
            <w:vAlign w:val="center"/>
          </w:tcPr>
          <w:p w14:paraId="48E2A467">
            <w:pPr>
              <w:pStyle w:val="178"/>
              <w:rPr>
                <w:rFonts w:ascii="Times New Roman"/>
              </w:rPr>
            </w:pPr>
            <w:r>
              <w:rPr>
                <w:rFonts w:ascii="Times New Roman"/>
              </w:rPr>
              <w:t>31</w:t>
            </w:r>
          </w:p>
        </w:tc>
        <w:tc>
          <w:tcPr>
            <w:tcW w:w="1615" w:type="dxa"/>
            <w:vAlign w:val="center"/>
          </w:tcPr>
          <w:p w14:paraId="1D6A6EA5">
            <w:pPr>
              <w:pStyle w:val="178"/>
              <w:rPr>
                <w:rFonts w:ascii="Times New Roman"/>
              </w:rPr>
            </w:pPr>
            <w:r>
              <w:rPr>
                <w:rFonts w:ascii="Times New Roman"/>
              </w:rPr>
              <w:t>磺胺嘧啶-D</w:t>
            </w:r>
            <w:r>
              <w:rPr>
                <w:rFonts w:ascii="Times New Roman"/>
                <w:vertAlign w:val="subscript"/>
              </w:rPr>
              <w:t>4</w:t>
            </w:r>
          </w:p>
        </w:tc>
        <w:tc>
          <w:tcPr>
            <w:tcW w:w="845" w:type="dxa"/>
            <w:shd w:val="clear" w:color="auto" w:fill="auto"/>
            <w:vAlign w:val="center"/>
          </w:tcPr>
          <w:p w14:paraId="3A08E1C9">
            <w:pPr>
              <w:pStyle w:val="178"/>
              <w:rPr>
                <w:rFonts w:ascii="Times New Roman"/>
              </w:rPr>
            </w:pPr>
            <w:r>
              <w:rPr>
                <w:rFonts w:ascii="Times New Roman"/>
              </w:rPr>
              <w:t>5.48</w:t>
            </w:r>
          </w:p>
        </w:tc>
        <w:tc>
          <w:tcPr>
            <w:tcW w:w="1134" w:type="dxa"/>
            <w:shd w:val="clear" w:color="auto" w:fill="auto"/>
            <w:vAlign w:val="center"/>
          </w:tcPr>
          <w:p w14:paraId="0AE8D92C">
            <w:pPr>
              <w:pStyle w:val="178"/>
              <w:rPr>
                <w:rFonts w:ascii="Times New Roman"/>
              </w:rPr>
            </w:pPr>
            <w:r>
              <w:rPr>
                <w:rFonts w:ascii="Times New Roman"/>
              </w:rPr>
              <w:t>255.0</w:t>
            </w:r>
          </w:p>
        </w:tc>
        <w:tc>
          <w:tcPr>
            <w:tcW w:w="1417" w:type="dxa"/>
            <w:shd w:val="clear" w:color="auto" w:fill="auto"/>
            <w:vAlign w:val="center"/>
          </w:tcPr>
          <w:p w14:paraId="25505407">
            <w:pPr>
              <w:pStyle w:val="178"/>
              <w:rPr>
                <w:rFonts w:ascii="Times New Roman"/>
              </w:rPr>
            </w:pPr>
            <w:r>
              <w:rPr>
                <w:rFonts w:ascii="Times New Roman"/>
              </w:rPr>
              <w:t>160.0</w:t>
            </w:r>
          </w:p>
        </w:tc>
        <w:tc>
          <w:tcPr>
            <w:tcW w:w="1134" w:type="dxa"/>
            <w:shd w:val="clear" w:color="auto" w:fill="auto"/>
            <w:vAlign w:val="center"/>
          </w:tcPr>
          <w:p w14:paraId="4E11FD70">
            <w:pPr>
              <w:pStyle w:val="178"/>
              <w:rPr>
                <w:rFonts w:ascii="Times New Roman"/>
              </w:rPr>
            </w:pPr>
            <w:r>
              <w:rPr>
                <w:rFonts w:ascii="Times New Roman"/>
              </w:rPr>
              <w:t>23</w:t>
            </w:r>
          </w:p>
        </w:tc>
        <w:tc>
          <w:tcPr>
            <w:tcW w:w="1426" w:type="dxa"/>
          </w:tcPr>
          <w:p w14:paraId="3864715F">
            <w:pPr>
              <w:pStyle w:val="178"/>
              <w:rPr>
                <w:rFonts w:ascii="Times New Roman"/>
              </w:rPr>
            </w:pPr>
            <w:r>
              <w:rPr>
                <w:rFonts w:ascii="Times New Roman"/>
              </w:rPr>
              <w:t>－</w:t>
            </w:r>
          </w:p>
        </w:tc>
      </w:tr>
      <w:tr w14:paraId="6CA512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47D00D2C">
            <w:pPr>
              <w:pStyle w:val="178"/>
              <w:rPr>
                <w:rFonts w:ascii="Times New Roman"/>
              </w:rPr>
            </w:pPr>
            <w:r>
              <w:rPr>
                <w:rFonts w:ascii="Times New Roman"/>
              </w:rPr>
              <w:t>32</w:t>
            </w:r>
          </w:p>
        </w:tc>
        <w:tc>
          <w:tcPr>
            <w:tcW w:w="1615" w:type="dxa"/>
            <w:vAlign w:val="center"/>
          </w:tcPr>
          <w:p w14:paraId="5243ED7C">
            <w:pPr>
              <w:pStyle w:val="178"/>
              <w:rPr>
                <w:rFonts w:ascii="Times New Roman"/>
              </w:rPr>
            </w:pPr>
            <w:r>
              <w:rPr>
                <w:rFonts w:ascii="Times New Roman"/>
                <w:vertAlign w:val="superscript"/>
              </w:rPr>
              <w:t>13</w:t>
            </w:r>
            <w:r>
              <w:rPr>
                <w:rFonts w:ascii="Times New Roman"/>
              </w:rPr>
              <w:t>C</w:t>
            </w:r>
            <w:r>
              <w:rPr>
                <w:rFonts w:ascii="Times New Roman"/>
                <w:vertAlign w:val="subscript"/>
              </w:rPr>
              <w:t>3</w:t>
            </w:r>
            <w:r>
              <w:rPr>
                <w:rFonts w:ascii="Times New Roman"/>
              </w:rPr>
              <w:t>-甲氧苄啶</w:t>
            </w:r>
          </w:p>
        </w:tc>
        <w:tc>
          <w:tcPr>
            <w:tcW w:w="845" w:type="dxa"/>
            <w:shd w:val="clear" w:color="auto" w:fill="auto"/>
            <w:vAlign w:val="center"/>
          </w:tcPr>
          <w:p w14:paraId="559CC8FF">
            <w:pPr>
              <w:pStyle w:val="178"/>
              <w:rPr>
                <w:rFonts w:ascii="Times New Roman"/>
              </w:rPr>
            </w:pPr>
            <w:r>
              <w:rPr>
                <w:rFonts w:ascii="Times New Roman"/>
              </w:rPr>
              <w:t>5.65</w:t>
            </w:r>
          </w:p>
        </w:tc>
        <w:tc>
          <w:tcPr>
            <w:tcW w:w="1134" w:type="dxa"/>
            <w:shd w:val="clear" w:color="auto" w:fill="auto"/>
            <w:vAlign w:val="center"/>
          </w:tcPr>
          <w:p w14:paraId="7A827BFD">
            <w:pPr>
              <w:pStyle w:val="178"/>
              <w:rPr>
                <w:rFonts w:ascii="Times New Roman"/>
              </w:rPr>
            </w:pPr>
            <w:r>
              <w:rPr>
                <w:rFonts w:ascii="Times New Roman"/>
              </w:rPr>
              <w:t>294.1</w:t>
            </w:r>
          </w:p>
        </w:tc>
        <w:tc>
          <w:tcPr>
            <w:tcW w:w="1417" w:type="dxa"/>
            <w:shd w:val="clear" w:color="auto" w:fill="auto"/>
            <w:vAlign w:val="center"/>
          </w:tcPr>
          <w:p w14:paraId="2DE7538F">
            <w:pPr>
              <w:pStyle w:val="178"/>
              <w:rPr>
                <w:rFonts w:ascii="Times New Roman"/>
              </w:rPr>
            </w:pPr>
            <w:r>
              <w:rPr>
                <w:rFonts w:ascii="Times New Roman"/>
              </w:rPr>
              <w:t>231.0</w:t>
            </w:r>
          </w:p>
        </w:tc>
        <w:tc>
          <w:tcPr>
            <w:tcW w:w="1134" w:type="dxa"/>
            <w:shd w:val="clear" w:color="auto" w:fill="auto"/>
            <w:vAlign w:val="center"/>
          </w:tcPr>
          <w:p w14:paraId="40E04924">
            <w:pPr>
              <w:pStyle w:val="178"/>
              <w:rPr>
                <w:rFonts w:ascii="Times New Roman"/>
              </w:rPr>
            </w:pPr>
            <w:r>
              <w:rPr>
                <w:rFonts w:ascii="Times New Roman"/>
              </w:rPr>
              <w:t>28</w:t>
            </w:r>
          </w:p>
        </w:tc>
        <w:tc>
          <w:tcPr>
            <w:tcW w:w="1426" w:type="dxa"/>
          </w:tcPr>
          <w:p w14:paraId="3B76CCD4">
            <w:pPr>
              <w:pStyle w:val="178"/>
              <w:rPr>
                <w:rFonts w:ascii="Times New Roman"/>
              </w:rPr>
            </w:pPr>
            <w:r>
              <w:rPr>
                <w:rFonts w:ascii="Times New Roman"/>
              </w:rPr>
              <w:t>－</w:t>
            </w:r>
          </w:p>
        </w:tc>
      </w:tr>
      <w:tr w14:paraId="3CCEB4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4265B018">
            <w:pPr>
              <w:pStyle w:val="178"/>
              <w:rPr>
                <w:rFonts w:ascii="Times New Roman"/>
              </w:rPr>
            </w:pPr>
            <w:r>
              <w:rPr>
                <w:rFonts w:ascii="Times New Roman"/>
              </w:rPr>
              <w:t>33</w:t>
            </w:r>
          </w:p>
        </w:tc>
        <w:tc>
          <w:tcPr>
            <w:tcW w:w="1615" w:type="dxa"/>
            <w:vAlign w:val="center"/>
          </w:tcPr>
          <w:p w14:paraId="54C59453">
            <w:pPr>
              <w:pStyle w:val="178"/>
              <w:rPr>
                <w:rFonts w:ascii="Times New Roman"/>
              </w:rPr>
            </w:pPr>
            <w:r>
              <w:rPr>
                <w:rFonts w:ascii="Times New Roman"/>
              </w:rPr>
              <w:t>磺胺喹噁啉-D</w:t>
            </w:r>
            <w:r>
              <w:rPr>
                <w:rFonts w:ascii="Times New Roman"/>
                <w:vertAlign w:val="subscript"/>
              </w:rPr>
              <w:t>4</w:t>
            </w:r>
          </w:p>
        </w:tc>
        <w:tc>
          <w:tcPr>
            <w:tcW w:w="845" w:type="dxa"/>
            <w:shd w:val="clear" w:color="auto" w:fill="auto"/>
            <w:vAlign w:val="center"/>
          </w:tcPr>
          <w:p w14:paraId="6283C9F5">
            <w:pPr>
              <w:pStyle w:val="178"/>
              <w:rPr>
                <w:rFonts w:ascii="Times New Roman"/>
              </w:rPr>
            </w:pPr>
            <w:r>
              <w:rPr>
                <w:rFonts w:ascii="Times New Roman"/>
              </w:rPr>
              <w:t>11.45</w:t>
            </w:r>
          </w:p>
        </w:tc>
        <w:tc>
          <w:tcPr>
            <w:tcW w:w="1134" w:type="dxa"/>
            <w:shd w:val="clear" w:color="auto" w:fill="auto"/>
            <w:vAlign w:val="center"/>
          </w:tcPr>
          <w:p w14:paraId="04A6386B">
            <w:pPr>
              <w:pStyle w:val="178"/>
              <w:rPr>
                <w:rFonts w:ascii="Times New Roman"/>
              </w:rPr>
            </w:pPr>
            <w:r>
              <w:rPr>
                <w:rFonts w:ascii="Times New Roman"/>
              </w:rPr>
              <w:t>305.1</w:t>
            </w:r>
          </w:p>
        </w:tc>
        <w:tc>
          <w:tcPr>
            <w:tcW w:w="1417" w:type="dxa"/>
            <w:shd w:val="clear" w:color="auto" w:fill="auto"/>
            <w:vAlign w:val="center"/>
          </w:tcPr>
          <w:p w14:paraId="54889E02">
            <w:pPr>
              <w:pStyle w:val="178"/>
              <w:rPr>
                <w:rFonts w:ascii="Times New Roman"/>
              </w:rPr>
            </w:pPr>
            <w:r>
              <w:rPr>
                <w:rFonts w:ascii="Times New Roman"/>
              </w:rPr>
              <w:t>160.1</w:t>
            </w:r>
          </w:p>
        </w:tc>
        <w:tc>
          <w:tcPr>
            <w:tcW w:w="1134" w:type="dxa"/>
            <w:shd w:val="clear" w:color="auto" w:fill="auto"/>
            <w:vAlign w:val="center"/>
          </w:tcPr>
          <w:p w14:paraId="2FF42AC7">
            <w:pPr>
              <w:pStyle w:val="178"/>
              <w:rPr>
                <w:rFonts w:ascii="Times New Roman"/>
              </w:rPr>
            </w:pPr>
            <w:r>
              <w:rPr>
                <w:rFonts w:ascii="Times New Roman"/>
              </w:rPr>
              <w:t>21</w:t>
            </w:r>
          </w:p>
        </w:tc>
        <w:tc>
          <w:tcPr>
            <w:tcW w:w="1426" w:type="dxa"/>
          </w:tcPr>
          <w:p w14:paraId="4B03528A">
            <w:pPr>
              <w:pStyle w:val="178"/>
              <w:rPr>
                <w:rFonts w:ascii="Times New Roman"/>
              </w:rPr>
            </w:pPr>
            <w:r>
              <w:rPr>
                <w:rFonts w:ascii="Times New Roman"/>
              </w:rPr>
              <w:t>－</w:t>
            </w:r>
          </w:p>
        </w:tc>
      </w:tr>
      <w:tr w14:paraId="07B9FE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1" w:hRule="atLeast"/>
          <w:jc w:val="center"/>
        </w:trPr>
        <w:tc>
          <w:tcPr>
            <w:tcW w:w="669" w:type="dxa"/>
            <w:shd w:val="clear" w:color="auto" w:fill="auto"/>
            <w:vAlign w:val="center"/>
          </w:tcPr>
          <w:p w14:paraId="4E2B8B70">
            <w:pPr>
              <w:pStyle w:val="178"/>
              <w:rPr>
                <w:rFonts w:ascii="Times New Roman"/>
              </w:rPr>
            </w:pPr>
            <w:r>
              <w:rPr>
                <w:rFonts w:ascii="Times New Roman"/>
              </w:rPr>
              <w:t>34</w:t>
            </w:r>
          </w:p>
        </w:tc>
        <w:tc>
          <w:tcPr>
            <w:tcW w:w="1615" w:type="dxa"/>
            <w:vAlign w:val="center"/>
          </w:tcPr>
          <w:p w14:paraId="4AC2977B">
            <w:pPr>
              <w:pStyle w:val="178"/>
              <w:rPr>
                <w:rFonts w:ascii="Times New Roman"/>
              </w:rPr>
            </w:pPr>
            <w:r>
              <w:rPr>
                <w:rFonts w:ascii="Times New Roman"/>
              </w:rPr>
              <w:t>磺胺氯哒嗪-D</w:t>
            </w:r>
            <w:r>
              <w:rPr>
                <w:rFonts w:ascii="Times New Roman"/>
                <w:vertAlign w:val="subscript"/>
              </w:rPr>
              <w:t>4</w:t>
            </w:r>
          </w:p>
        </w:tc>
        <w:tc>
          <w:tcPr>
            <w:tcW w:w="845" w:type="dxa"/>
            <w:shd w:val="clear" w:color="auto" w:fill="auto"/>
            <w:vAlign w:val="center"/>
          </w:tcPr>
          <w:p w14:paraId="61AE3441">
            <w:pPr>
              <w:pStyle w:val="178"/>
              <w:rPr>
                <w:rFonts w:ascii="Times New Roman"/>
              </w:rPr>
            </w:pPr>
            <w:r>
              <w:rPr>
                <w:rFonts w:ascii="Times New Roman"/>
              </w:rPr>
              <w:t>8.86</w:t>
            </w:r>
          </w:p>
        </w:tc>
        <w:tc>
          <w:tcPr>
            <w:tcW w:w="1134" w:type="dxa"/>
            <w:shd w:val="clear" w:color="auto" w:fill="auto"/>
            <w:vAlign w:val="center"/>
          </w:tcPr>
          <w:p w14:paraId="28BFBC45">
            <w:pPr>
              <w:pStyle w:val="178"/>
              <w:rPr>
                <w:rFonts w:ascii="Times New Roman"/>
              </w:rPr>
            </w:pPr>
            <w:r>
              <w:rPr>
                <w:rFonts w:ascii="Times New Roman"/>
              </w:rPr>
              <w:t>288.9</w:t>
            </w:r>
          </w:p>
        </w:tc>
        <w:tc>
          <w:tcPr>
            <w:tcW w:w="1417" w:type="dxa"/>
            <w:shd w:val="clear" w:color="auto" w:fill="auto"/>
            <w:vAlign w:val="center"/>
          </w:tcPr>
          <w:p w14:paraId="72560F0D">
            <w:pPr>
              <w:pStyle w:val="178"/>
              <w:rPr>
                <w:rFonts w:ascii="Times New Roman"/>
              </w:rPr>
            </w:pPr>
            <w:r>
              <w:rPr>
                <w:rFonts w:ascii="Times New Roman"/>
              </w:rPr>
              <w:t>160.1</w:t>
            </w:r>
          </w:p>
        </w:tc>
        <w:tc>
          <w:tcPr>
            <w:tcW w:w="1134" w:type="dxa"/>
            <w:shd w:val="clear" w:color="auto" w:fill="auto"/>
            <w:vAlign w:val="center"/>
          </w:tcPr>
          <w:p w14:paraId="58FC7526">
            <w:pPr>
              <w:pStyle w:val="178"/>
              <w:rPr>
                <w:rFonts w:ascii="Times New Roman"/>
              </w:rPr>
            </w:pPr>
            <w:r>
              <w:rPr>
                <w:rFonts w:ascii="Times New Roman"/>
              </w:rPr>
              <w:t>20</w:t>
            </w:r>
          </w:p>
        </w:tc>
        <w:tc>
          <w:tcPr>
            <w:tcW w:w="1426" w:type="dxa"/>
          </w:tcPr>
          <w:p w14:paraId="5C98B268">
            <w:pPr>
              <w:pStyle w:val="178"/>
              <w:rPr>
                <w:rFonts w:ascii="Times New Roman"/>
              </w:rPr>
            </w:pPr>
            <w:r>
              <w:rPr>
                <w:rFonts w:ascii="Times New Roman"/>
              </w:rPr>
              <w:t>－</w:t>
            </w:r>
          </w:p>
        </w:tc>
      </w:tr>
      <w:tr w14:paraId="3DA357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0C79A8DC">
            <w:pPr>
              <w:pStyle w:val="178"/>
              <w:rPr>
                <w:rFonts w:ascii="Times New Roman"/>
              </w:rPr>
            </w:pPr>
            <w:r>
              <w:rPr>
                <w:rFonts w:ascii="Times New Roman"/>
              </w:rPr>
              <w:t>35</w:t>
            </w:r>
          </w:p>
        </w:tc>
        <w:tc>
          <w:tcPr>
            <w:tcW w:w="1615" w:type="dxa"/>
            <w:vAlign w:val="center"/>
          </w:tcPr>
          <w:p w14:paraId="751EBFD5">
            <w:pPr>
              <w:pStyle w:val="178"/>
              <w:rPr>
                <w:rFonts w:ascii="Times New Roman"/>
              </w:rPr>
            </w:pPr>
            <w:r>
              <w:rPr>
                <w:rFonts w:ascii="Times New Roman"/>
              </w:rPr>
              <w:t>磺胺林-</w:t>
            </w:r>
            <w:r>
              <w:rPr>
                <w:rFonts w:ascii="Times New Roman"/>
                <w:vertAlign w:val="superscript"/>
              </w:rPr>
              <w:t>13</w:t>
            </w:r>
            <w:r>
              <w:rPr>
                <w:rFonts w:ascii="Times New Roman"/>
              </w:rPr>
              <w:t>C</w:t>
            </w:r>
            <w:r>
              <w:rPr>
                <w:rFonts w:ascii="Times New Roman"/>
                <w:vertAlign w:val="subscript"/>
              </w:rPr>
              <w:t>6</w:t>
            </w:r>
          </w:p>
        </w:tc>
        <w:tc>
          <w:tcPr>
            <w:tcW w:w="845" w:type="dxa"/>
            <w:shd w:val="clear" w:color="auto" w:fill="auto"/>
            <w:vAlign w:val="center"/>
          </w:tcPr>
          <w:p w14:paraId="61C9C912">
            <w:pPr>
              <w:pStyle w:val="178"/>
              <w:rPr>
                <w:rFonts w:ascii="Times New Roman"/>
              </w:rPr>
            </w:pPr>
            <w:r>
              <w:rPr>
                <w:rFonts w:ascii="Times New Roman"/>
              </w:rPr>
              <w:t>8.55</w:t>
            </w:r>
          </w:p>
        </w:tc>
        <w:tc>
          <w:tcPr>
            <w:tcW w:w="1134" w:type="dxa"/>
            <w:shd w:val="clear" w:color="auto" w:fill="auto"/>
            <w:vAlign w:val="center"/>
          </w:tcPr>
          <w:p w14:paraId="1C861ED3">
            <w:pPr>
              <w:pStyle w:val="178"/>
              <w:rPr>
                <w:rFonts w:ascii="Times New Roman"/>
              </w:rPr>
            </w:pPr>
            <w:r>
              <w:rPr>
                <w:rFonts w:ascii="Times New Roman"/>
              </w:rPr>
              <w:t>287.0</w:t>
            </w:r>
          </w:p>
        </w:tc>
        <w:tc>
          <w:tcPr>
            <w:tcW w:w="1417" w:type="dxa"/>
            <w:shd w:val="clear" w:color="auto" w:fill="auto"/>
            <w:vAlign w:val="center"/>
          </w:tcPr>
          <w:p w14:paraId="066B9155">
            <w:pPr>
              <w:pStyle w:val="178"/>
              <w:rPr>
                <w:rFonts w:ascii="Times New Roman"/>
              </w:rPr>
            </w:pPr>
            <w:r>
              <w:rPr>
                <w:rFonts w:ascii="Times New Roman"/>
              </w:rPr>
              <w:t>162.1</w:t>
            </w:r>
          </w:p>
        </w:tc>
        <w:tc>
          <w:tcPr>
            <w:tcW w:w="1134" w:type="dxa"/>
            <w:shd w:val="clear" w:color="auto" w:fill="auto"/>
            <w:vAlign w:val="center"/>
          </w:tcPr>
          <w:p w14:paraId="28C8F716">
            <w:pPr>
              <w:pStyle w:val="178"/>
              <w:rPr>
                <w:rFonts w:ascii="Times New Roman"/>
              </w:rPr>
            </w:pPr>
            <w:r>
              <w:rPr>
                <w:rFonts w:ascii="Times New Roman"/>
              </w:rPr>
              <w:t>23</w:t>
            </w:r>
          </w:p>
        </w:tc>
        <w:tc>
          <w:tcPr>
            <w:tcW w:w="1426" w:type="dxa"/>
          </w:tcPr>
          <w:p w14:paraId="430B15ED">
            <w:pPr>
              <w:pStyle w:val="178"/>
              <w:rPr>
                <w:rFonts w:ascii="Times New Roman"/>
              </w:rPr>
            </w:pPr>
            <w:r>
              <w:rPr>
                <w:rFonts w:ascii="Times New Roman"/>
              </w:rPr>
              <w:t>－</w:t>
            </w:r>
          </w:p>
        </w:tc>
      </w:tr>
      <w:tr w14:paraId="666450E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1131C0A7">
            <w:pPr>
              <w:pStyle w:val="178"/>
              <w:rPr>
                <w:rFonts w:ascii="Times New Roman"/>
              </w:rPr>
            </w:pPr>
            <w:r>
              <w:rPr>
                <w:rFonts w:ascii="Times New Roman"/>
              </w:rPr>
              <w:t>36</w:t>
            </w:r>
          </w:p>
        </w:tc>
        <w:tc>
          <w:tcPr>
            <w:tcW w:w="1615" w:type="dxa"/>
            <w:vAlign w:val="center"/>
          </w:tcPr>
          <w:p w14:paraId="4999DFDA">
            <w:pPr>
              <w:pStyle w:val="178"/>
              <w:rPr>
                <w:rFonts w:ascii="Times New Roman"/>
                <w:color w:val="000000"/>
                <w:sz w:val="21"/>
                <w:szCs w:val="21"/>
              </w:rPr>
            </w:pPr>
            <w:r>
              <w:rPr>
                <w:rFonts w:ascii="Times New Roman"/>
              </w:rPr>
              <w:t>头孢噻呋-D</w:t>
            </w:r>
            <w:r>
              <w:rPr>
                <w:rFonts w:ascii="Times New Roman"/>
                <w:vertAlign w:val="subscript"/>
              </w:rPr>
              <w:t>3</w:t>
            </w:r>
          </w:p>
        </w:tc>
        <w:tc>
          <w:tcPr>
            <w:tcW w:w="845" w:type="dxa"/>
            <w:shd w:val="clear" w:color="auto" w:fill="auto"/>
            <w:vAlign w:val="center"/>
          </w:tcPr>
          <w:p w14:paraId="797583A1">
            <w:pPr>
              <w:pStyle w:val="178"/>
              <w:rPr>
                <w:rFonts w:ascii="Times New Roman"/>
              </w:rPr>
            </w:pPr>
            <w:r>
              <w:rPr>
                <w:rFonts w:ascii="Times New Roman"/>
              </w:rPr>
              <w:t>10.47</w:t>
            </w:r>
          </w:p>
        </w:tc>
        <w:tc>
          <w:tcPr>
            <w:tcW w:w="1134" w:type="dxa"/>
            <w:shd w:val="clear" w:color="auto" w:fill="auto"/>
            <w:vAlign w:val="center"/>
          </w:tcPr>
          <w:p w14:paraId="5DA7F0F0">
            <w:pPr>
              <w:pStyle w:val="178"/>
              <w:rPr>
                <w:rFonts w:ascii="Times New Roman"/>
              </w:rPr>
            </w:pPr>
            <w:r>
              <w:rPr>
                <w:rFonts w:ascii="Times New Roman"/>
              </w:rPr>
              <w:t>527.1</w:t>
            </w:r>
          </w:p>
        </w:tc>
        <w:tc>
          <w:tcPr>
            <w:tcW w:w="1417" w:type="dxa"/>
            <w:shd w:val="clear" w:color="auto" w:fill="auto"/>
            <w:vAlign w:val="center"/>
          </w:tcPr>
          <w:p w14:paraId="7358AB24">
            <w:pPr>
              <w:pStyle w:val="178"/>
              <w:rPr>
                <w:rFonts w:ascii="Times New Roman"/>
              </w:rPr>
            </w:pPr>
            <w:r>
              <w:rPr>
                <w:rFonts w:ascii="Times New Roman"/>
              </w:rPr>
              <w:t>244.0</w:t>
            </w:r>
          </w:p>
        </w:tc>
        <w:tc>
          <w:tcPr>
            <w:tcW w:w="1134" w:type="dxa"/>
            <w:shd w:val="clear" w:color="auto" w:fill="auto"/>
            <w:vAlign w:val="center"/>
          </w:tcPr>
          <w:p w14:paraId="00A6FF61">
            <w:pPr>
              <w:pStyle w:val="178"/>
              <w:rPr>
                <w:rFonts w:ascii="Times New Roman"/>
              </w:rPr>
            </w:pPr>
            <w:r>
              <w:rPr>
                <w:rFonts w:ascii="Times New Roman"/>
              </w:rPr>
              <w:t>24</w:t>
            </w:r>
          </w:p>
        </w:tc>
        <w:tc>
          <w:tcPr>
            <w:tcW w:w="1426" w:type="dxa"/>
          </w:tcPr>
          <w:p w14:paraId="1A63479E">
            <w:pPr>
              <w:pStyle w:val="178"/>
              <w:rPr>
                <w:rFonts w:ascii="Times New Roman"/>
              </w:rPr>
            </w:pPr>
            <w:r>
              <w:rPr>
                <w:rFonts w:ascii="Times New Roman"/>
              </w:rPr>
              <w:t>－</w:t>
            </w:r>
          </w:p>
        </w:tc>
      </w:tr>
      <w:tr w14:paraId="0EB800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48" w:hRule="atLeast"/>
          <w:jc w:val="center"/>
        </w:trPr>
        <w:tc>
          <w:tcPr>
            <w:tcW w:w="669" w:type="dxa"/>
            <w:shd w:val="clear" w:color="auto" w:fill="auto"/>
            <w:vAlign w:val="center"/>
          </w:tcPr>
          <w:p w14:paraId="7C3EF3EF">
            <w:pPr>
              <w:pStyle w:val="178"/>
              <w:rPr>
                <w:rFonts w:ascii="Times New Roman"/>
              </w:rPr>
            </w:pPr>
            <w:r>
              <w:rPr>
                <w:rFonts w:ascii="Times New Roman"/>
              </w:rPr>
              <w:t>37</w:t>
            </w:r>
          </w:p>
        </w:tc>
        <w:tc>
          <w:tcPr>
            <w:tcW w:w="1615" w:type="dxa"/>
            <w:vAlign w:val="center"/>
          </w:tcPr>
          <w:p w14:paraId="74F15B19">
            <w:pPr>
              <w:pStyle w:val="178"/>
              <w:rPr>
                <w:rFonts w:ascii="Times New Roman"/>
              </w:rPr>
            </w:pPr>
            <w:r>
              <w:rPr>
                <w:rFonts w:ascii="Times New Roman"/>
              </w:rPr>
              <w:t>林可霉素-D</w:t>
            </w:r>
            <w:r>
              <w:rPr>
                <w:rFonts w:ascii="Times New Roman"/>
                <w:vertAlign w:val="subscript"/>
              </w:rPr>
              <w:t>3</w:t>
            </w:r>
          </w:p>
        </w:tc>
        <w:tc>
          <w:tcPr>
            <w:tcW w:w="845" w:type="dxa"/>
            <w:shd w:val="clear" w:color="auto" w:fill="auto"/>
            <w:vAlign w:val="center"/>
          </w:tcPr>
          <w:p w14:paraId="18EA6968">
            <w:pPr>
              <w:pStyle w:val="178"/>
              <w:rPr>
                <w:rFonts w:ascii="Times New Roman"/>
              </w:rPr>
            </w:pPr>
            <w:r>
              <w:rPr>
                <w:rFonts w:ascii="Times New Roman"/>
              </w:rPr>
              <w:t>4.83</w:t>
            </w:r>
          </w:p>
        </w:tc>
        <w:tc>
          <w:tcPr>
            <w:tcW w:w="1134" w:type="dxa"/>
            <w:shd w:val="clear" w:color="auto" w:fill="auto"/>
            <w:vAlign w:val="center"/>
          </w:tcPr>
          <w:p w14:paraId="40A5A43C">
            <w:pPr>
              <w:pStyle w:val="178"/>
              <w:rPr>
                <w:rFonts w:ascii="Times New Roman"/>
              </w:rPr>
            </w:pPr>
            <w:r>
              <w:rPr>
                <w:rFonts w:ascii="Times New Roman"/>
              </w:rPr>
              <w:t>410.2</w:t>
            </w:r>
          </w:p>
        </w:tc>
        <w:tc>
          <w:tcPr>
            <w:tcW w:w="1417" w:type="dxa"/>
            <w:shd w:val="clear" w:color="auto" w:fill="auto"/>
            <w:vAlign w:val="center"/>
          </w:tcPr>
          <w:p w14:paraId="70C25568">
            <w:pPr>
              <w:pStyle w:val="178"/>
              <w:rPr>
                <w:rFonts w:ascii="Times New Roman"/>
              </w:rPr>
            </w:pPr>
            <w:r>
              <w:rPr>
                <w:rFonts w:ascii="Times New Roman"/>
              </w:rPr>
              <w:t>129.1</w:t>
            </w:r>
          </w:p>
        </w:tc>
        <w:tc>
          <w:tcPr>
            <w:tcW w:w="1134" w:type="dxa"/>
            <w:shd w:val="clear" w:color="auto" w:fill="auto"/>
            <w:vAlign w:val="center"/>
          </w:tcPr>
          <w:p w14:paraId="31B6AF84">
            <w:pPr>
              <w:pStyle w:val="178"/>
              <w:rPr>
                <w:rFonts w:ascii="Times New Roman"/>
              </w:rPr>
            </w:pPr>
            <w:r>
              <w:rPr>
                <w:rFonts w:ascii="Times New Roman"/>
              </w:rPr>
              <w:t>35</w:t>
            </w:r>
          </w:p>
        </w:tc>
        <w:tc>
          <w:tcPr>
            <w:tcW w:w="1426" w:type="dxa"/>
          </w:tcPr>
          <w:p w14:paraId="0295603B">
            <w:pPr>
              <w:pStyle w:val="178"/>
              <w:rPr>
                <w:rFonts w:ascii="Times New Roman"/>
              </w:rPr>
            </w:pPr>
            <w:r>
              <w:rPr>
                <w:rFonts w:ascii="Times New Roman"/>
              </w:rPr>
              <w:t>－</w:t>
            </w:r>
          </w:p>
        </w:tc>
      </w:tr>
    </w:tbl>
    <w:p w14:paraId="143E3A49">
      <w:pPr>
        <w:pStyle w:val="179"/>
        <w:rPr>
          <w:rFonts w:ascii="Times New Roman"/>
        </w:rPr>
      </w:pPr>
      <w:r>
        <w:rPr>
          <w:rFonts w:ascii="Times New Roman"/>
          <w:szCs w:val="20"/>
        </w:rPr>
        <w:t>*为定量离子。</w:t>
      </w:r>
    </w:p>
    <w:p w14:paraId="5C4143D6">
      <w:pPr>
        <w:pStyle w:val="56"/>
        <w:ind w:firstLine="420"/>
        <w:rPr>
          <w:rFonts w:ascii="Times New Roman"/>
        </w:rPr>
      </w:pPr>
    </w:p>
    <w:p w14:paraId="63BB5EC2">
      <w:pPr>
        <w:pStyle w:val="56"/>
        <w:ind w:firstLine="420"/>
        <w:rPr>
          <w:rFonts w:ascii="Times New Roman"/>
        </w:rPr>
      </w:pPr>
    </w:p>
    <w:p w14:paraId="4B5B9F01">
      <w:pPr>
        <w:pStyle w:val="56"/>
        <w:ind w:firstLine="420"/>
        <w:rPr>
          <w:rFonts w:ascii="Times New Roman"/>
        </w:rPr>
      </w:pPr>
    </w:p>
    <w:p w14:paraId="3B8D48C6">
      <w:pPr>
        <w:pStyle w:val="56"/>
        <w:ind w:firstLine="420"/>
        <w:rPr>
          <w:rFonts w:ascii="Times New Roman"/>
        </w:rPr>
        <w:sectPr>
          <w:pgSz w:w="11906" w:h="16838"/>
          <w:pgMar w:top="1928" w:right="1134" w:bottom="1134" w:left="1134" w:header="1418" w:footer="1134" w:gutter="284"/>
          <w:cols w:space="425" w:num="1"/>
          <w:formProt w:val="0"/>
          <w:docGrid w:linePitch="312" w:charSpace="0"/>
        </w:sectPr>
      </w:pPr>
    </w:p>
    <w:p w14:paraId="3B7FBCBF">
      <w:pPr>
        <w:pStyle w:val="198"/>
        <w:rPr>
          <w:rFonts w:ascii="Times New Roman" w:hAnsi="Times New Roman"/>
          <w:vanish w:val="0"/>
        </w:rPr>
      </w:pPr>
    </w:p>
    <w:p w14:paraId="578C5D6E">
      <w:pPr>
        <w:pStyle w:val="199"/>
        <w:rPr>
          <w:rFonts w:ascii="Times New Roman"/>
          <w:vanish w:val="0"/>
        </w:rPr>
      </w:pPr>
    </w:p>
    <w:p w14:paraId="29D7B541">
      <w:pPr>
        <w:pStyle w:val="76"/>
        <w:spacing w:after="120"/>
        <w:ind w:firstLine="420"/>
        <w:rPr>
          <w:rFonts w:ascii="Times New Roman"/>
        </w:rPr>
      </w:pPr>
      <w:r>
        <w:rPr>
          <w:rFonts w:ascii="Times New Roman"/>
        </w:rPr>
        <w:br w:type="textWrapping"/>
      </w:r>
      <w:bookmarkStart w:id="128" w:name="_Toc201759946"/>
      <w:bookmarkStart w:id="129" w:name="_Toc201759962"/>
      <w:r>
        <w:rPr>
          <w:rFonts w:ascii="Times New Roman"/>
        </w:rPr>
        <w:t>（资料性）</w:t>
      </w:r>
      <w:r>
        <w:rPr>
          <w:rFonts w:ascii="Times New Roman"/>
        </w:rPr>
        <w:br w:type="textWrapping"/>
      </w:r>
      <w:r>
        <w:rPr>
          <w:rFonts w:ascii="Times New Roman"/>
        </w:rPr>
        <w:t>19种抗生素标准色谱图</w:t>
      </w:r>
      <w:bookmarkEnd w:id="128"/>
      <w:bookmarkEnd w:id="129"/>
    </w:p>
    <w:p w14:paraId="10193F17">
      <w:pPr>
        <w:pStyle w:val="56"/>
        <w:ind w:firstLine="420"/>
        <w:rPr>
          <w:rFonts w:ascii="Times New Roman"/>
        </w:rPr>
      </w:pPr>
      <w:r>
        <w:rPr>
          <w:rFonts w:ascii="Times New Roman"/>
        </w:rPr>
        <w:drawing>
          <wp:inline distT="0" distB="0" distL="0" distR="0">
            <wp:extent cx="5370830" cy="2434590"/>
            <wp:effectExtent l="0" t="0" r="0" b="3810"/>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6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5374308" cy="2436291"/>
                    </a:xfrm>
                    <a:prstGeom prst="rect">
                      <a:avLst/>
                    </a:prstGeom>
                    <a:noFill/>
                  </pic:spPr>
                </pic:pic>
              </a:graphicData>
            </a:graphic>
          </wp:inline>
        </w:drawing>
      </w:r>
    </w:p>
    <w:p w14:paraId="38394996">
      <w:pPr>
        <w:pStyle w:val="83"/>
        <w:spacing w:before="120" w:after="120"/>
        <w:rPr>
          <w:rFonts w:ascii="Times New Roman"/>
        </w:rPr>
      </w:pPr>
      <w:r>
        <w:rPr>
          <w:rFonts w:ascii="Times New Roman"/>
        </w:rPr>
        <w:t>19种抗生素总离子流图</w:t>
      </w:r>
    </w:p>
    <w:p w14:paraId="768BEAFB">
      <w:pPr>
        <w:pStyle w:val="179"/>
        <w:ind w:firstLine="420"/>
      </w:pPr>
      <w:bookmarkStart w:id="130" w:name="OLE_LINK9"/>
      <w:r>
        <w:rPr>
          <w:rFonts w:ascii="Times New Roman"/>
        </w:rPr>
        <w:t>1：林可霉素；2：头孢克洛；3：磺胺嘧啶；4：甲氧苄啶；5：培氟沙星；6：土霉素；7：洛美沙星；8：四环素；9：恩诺沙星；10：磺胺二甲嘧啶；11：二氟沙星；12：阿奇霉素；13：磺胺林；14：磺胺氯哒嗪；15：强力霉素；16：磺胺甲噁唑；17：磺胺</w:t>
      </w:r>
      <w:r>
        <w:rPr>
          <w:rFonts w:hint="eastAsia"/>
        </w:rPr>
        <w:t>喹噁啉；18：克拉霉素；19：罗红霉素。</w:t>
      </w:r>
      <w:bookmarkEnd w:id="122"/>
      <w:bookmarkEnd w:id="130"/>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3CD95">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6C083">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A7922">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FB349">
    <w:pPr>
      <w:pStyle w:val="52"/>
    </w:pPr>
    <w:r>
      <w:fldChar w:fldCharType="begin"/>
    </w:r>
    <w:r>
      <w:instrText xml:space="preserve">PAGE   \* MERGEFORMAT</w:instrText>
    </w:r>
    <w:r>
      <w:fldChar w:fldCharType="separate"/>
    </w:r>
    <w:r>
      <w:rPr>
        <w:lang w:val="zh-CN"/>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3F8F9">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C8B6A">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E94E1">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6E80D">
    <w:pPr>
      <w:pStyle w:val="61"/>
    </w:pPr>
    <w:r>
      <w:fldChar w:fldCharType="begin"/>
    </w:r>
    <w:r>
      <w:instrText xml:space="preserve"> STYLEREF  标准文件_文件编号  \* MERGEFORMAT </w:instrText>
    </w:r>
    <w:r>
      <w:fldChar w:fldCharType="separate"/>
    </w:r>
    <w:r>
      <w:t>T/XXX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548BE">
    <w:pPr>
      <w:pStyle w:val="18"/>
      <w:jc w:val="right"/>
    </w:pPr>
    <w:r>
      <w:fldChar w:fldCharType="begin"/>
    </w:r>
    <w:r>
      <w:instrText xml:space="preserve"> STYLEREF  标准文件_文件编号  \* MERGEFORMAT </w:instrText>
    </w:r>
    <w:r>
      <w:fldChar w:fldCharType="separate"/>
    </w:r>
    <w:r>
      <w:t>T/XXX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709"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dit="forms" w:enforcement="1" w:cryptProviderType="rsaAES" w:cryptAlgorithmClass="hash" w:cryptAlgorithmType="typeAny" w:cryptAlgorithmSid="14" w:cryptSpinCount="100000" w:hash="zThCViFpDQtywVBuFwYuTQ5EEwyepQGLs9x6kQFLRyj4ropXN6KuKfmlI7jKPjlWV1m+PT0F9p8x6NxzK4hhgg==" w:salt="Ax2nMoH63btUqHVYjUi4gg=="/>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D41"/>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3742"/>
    <w:rsid w:val="00067F1E"/>
    <w:rsid w:val="00071CC0"/>
    <w:rsid w:val="00071CFC"/>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104926"/>
    <w:rsid w:val="001124E5"/>
    <w:rsid w:val="00113B1E"/>
    <w:rsid w:val="0011695B"/>
    <w:rsid w:val="0011711C"/>
    <w:rsid w:val="00124E4F"/>
    <w:rsid w:val="001260B7"/>
    <w:rsid w:val="001265CB"/>
    <w:rsid w:val="001321C6"/>
    <w:rsid w:val="001325C4"/>
    <w:rsid w:val="00133010"/>
    <w:rsid w:val="001333F0"/>
    <w:rsid w:val="001338EE"/>
    <w:rsid w:val="00133AAE"/>
    <w:rsid w:val="00135323"/>
    <w:rsid w:val="001356C4"/>
    <w:rsid w:val="00137565"/>
    <w:rsid w:val="00141114"/>
    <w:rsid w:val="00142969"/>
    <w:rsid w:val="00143419"/>
    <w:rsid w:val="001446C2"/>
    <w:rsid w:val="001457E7"/>
    <w:rsid w:val="00145D9D"/>
    <w:rsid w:val="00146388"/>
    <w:rsid w:val="00146D3C"/>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6FD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5504"/>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43235"/>
    <w:rsid w:val="00243540"/>
    <w:rsid w:val="0024497B"/>
    <w:rsid w:val="0024515B"/>
    <w:rsid w:val="00246021"/>
    <w:rsid w:val="0024666E"/>
    <w:rsid w:val="00246A48"/>
    <w:rsid w:val="00247F52"/>
    <w:rsid w:val="00250B25"/>
    <w:rsid w:val="00250BBE"/>
    <w:rsid w:val="002515C2"/>
    <w:rsid w:val="0025194F"/>
    <w:rsid w:val="00256C82"/>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4AF3"/>
    <w:rsid w:val="002C5278"/>
    <w:rsid w:val="002C5D41"/>
    <w:rsid w:val="002C7EBB"/>
    <w:rsid w:val="002D06C1"/>
    <w:rsid w:val="002D0DAA"/>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1B4E"/>
    <w:rsid w:val="00313B85"/>
    <w:rsid w:val="00317988"/>
    <w:rsid w:val="00320C3C"/>
    <w:rsid w:val="003221B4"/>
    <w:rsid w:val="0032258D"/>
    <w:rsid w:val="00322E62"/>
    <w:rsid w:val="00324D13"/>
    <w:rsid w:val="00324EDD"/>
    <w:rsid w:val="0032732F"/>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B25"/>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23BF"/>
    <w:rsid w:val="003B5BF0"/>
    <w:rsid w:val="003B60BF"/>
    <w:rsid w:val="003B6BE3"/>
    <w:rsid w:val="003C010C"/>
    <w:rsid w:val="003C0A6C"/>
    <w:rsid w:val="003C14F8"/>
    <w:rsid w:val="003C4ECC"/>
    <w:rsid w:val="003C5A43"/>
    <w:rsid w:val="003D0519"/>
    <w:rsid w:val="003D0FF6"/>
    <w:rsid w:val="003D262C"/>
    <w:rsid w:val="003D6D61"/>
    <w:rsid w:val="003E019F"/>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36E80"/>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F1D"/>
    <w:rsid w:val="004C458D"/>
    <w:rsid w:val="004C7556"/>
    <w:rsid w:val="004C7E8B"/>
    <w:rsid w:val="004C7E9D"/>
    <w:rsid w:val="004C7F67"/>
    <w:rsid w:val="004D076D"/>
    <w:rsid w:val="004D0EF1"/>
    <w:rsid w:val="004D1EC5"/>
    <w:rsid w:val="004D2253"/>
    <w:rsid w:val="004D4406"/>
    <w:rsid w:val="004D7C42"/>
    <w:rsid w:val="004E0465"/>
    <w:rsid w:val="004E127B"/>
    <w:rsid w:val="004E1C0A"/>
    <w:rsid w:val="004E30C5"/>
    <w:rsid w:val="004E335A"/>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CF9"/>
    <w:rsid w:val="00512F6E"/>
    <w:rsid w:val="00513038"/>
    <w:rsid w:val="00513E16"/>
    <w:rsid w:val="00514174"/>
    <w:rsid w:val="00516088"/>
    <w:rsid w:val="00516B0B"/>
    <w:rsid w:val="005220EC"/>
    <w:rsid w:val="00523F95"/>
    <w:rsid w:val="005240C2"/>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5F21"/>
    <w:rsid w:val="005C7156"/>
    <w:rsid w:val="005D0C75"/>
    <w:rsid w:val="005D4171"/>
    <w:rsid w:val="005D62C7"/>
    <w:rsid w:val="005D6A95"/>
    <w:rsid w:val="005D6B2C"/>
    <w:rsid w:val="005D6D9C"/>
    <w:rsid w:val="005E1499"/>
    <w:rsid w:val="005E2335"/>
    <w:rsid w:val="005E34CA"/>
    <w:rsid w:val="005E3ADE"/>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2EBA"/>
    <w:rsid w:val="006252D8"/>
    <w:rsid w:val="006259BC"/>
    <w:rsid w:val="0062636B"/>
    <w:rsid w:val="00632182"/>
    <w:rsid w:val="00632AE0"/>
    <w:rsid w:val="00633C17"/>
    <w:rsid w:val="00634D9E"/>
    <w:rsid w:val="00636E3E"/>
    <w:rsid w:val="006379F7"/>
    <w:rsid w:val="00637E4D"/>
    <w:rsid w:val="00640620"/>
    <w:rsid w:val="00641A1F"/>
    <w:rsid w:val="0064530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06EB"/>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01F8"/>
    <w:rsid w:val="006B2672"/>
    <w:rsid w:val="006B54BF"/>
    <w:rsid w:val="006B5F44"/>
    <w:rsid w:val="006B5F90"/>
    <w:rsid w:val="006B62E4"/>
    <w:rsid w:val="006B71F2"/>
    <w:rsid w:val="006C1BBA"/>
    <w:rsid w:val="006C2079"/>
    <w:rsid w:val="006C5A62"/>
    <w:rsid w:val="006C5D68"/>
    <w:rsid w:val="006C6976"/>
    <w:rsid w:val="006C6DD0"/>
    <w:rsid w:val="006D04EA"/>
    <w:rsid w:val="006D16C4"/>
    <w:rsid w:val="006D3E96"/>
    <w:rsid w:val="006D4515"/>
    <w:rsid w:val="006D4BB1"/>
    <w:rsid w:val="006D6593"/>
    <w:rsid w:val="006F03A8"/>
    <w:rsid w:val="006F1E84"/>
    <w:rsid w:val="006F2ACA"/>
    <w:rsid w:val="006F2ADC"/>
    <w:rsid w:val="006F2BFE"/>
    <w:rsid w:val="006F31E9"/>
    <w:rsid w:val="006F6284"/>
    <w:rsid w:val="006F6489"/>
    <w:rsid w:val="007002C5"/>
    <w:rsid w:val="00703758"/>
    <w:rsid w:val="00704387"/>
    <w:rsid w:val="00707669"/>
    <w:rsid w:val="00711CBA"/>
    <w:rsid w:val="00711FB5"/>
    <w:rsid w:val="00712A01"/>
    <w:rsid w:val="00714245"/>
    <w:rsid w:val="00714F58"/>
    <w:rsid w:val="00722FBF"/>
    <w:rsid w:val="00722FC2"/>
    <w:rsid w:val="0072450A"/>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57578"/>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C6E34"/>
    <w:rsid w:val="007D06C4"/>
    <w:rsid w:val="007D1352"/>
    <w:rsid w:val="007D2508"/>
    <w:rsid w:val="007D346A"/>
    <w:rsid w:val="007D6518"/>
    <w:rsid w:val="007D65CE"/>
    <w:rsid w:val="007D76BD"/>
    <w:rsid w:val="007E0BF1"/>
    <w:rsid w:val="007E7F3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1670"/>
    <w:rsid w:val="008620FC"/>
    <w:rsid w:val="008627A5"/>
    <w:rsid w:val="00863E05"/>
    <w:rsid w:val="00865ACA"/>
    <w:rsid w:val="00865D28"/>
    <w:rsid w:val="00865F85"/>
    <w:rsid w:val="00867C10"/>
    <w:rsid w:val="00870439"/>
    <w:rsid w:val="00870DA1"/>
    <w:rsid w:val="00873216"/>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B7F88"/>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8CA"/>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4AC"/>
    <w:rsid w:val="009A089C"/>
    <w:rsid w:val="009A118E"/>
    <w:rsid w:val="009A21CD"/>
    <w:rsid w:val="009A278C"/>
    <w:rsid w:val="009A2BC2"/>
    <w:rsid w:val="009A3A28"/>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9F3D02"/>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2966"/>
    <w:rsid w:val="00A237D5"/>
    <w:rsid w:val="00A27B50"/>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5EC9"/>
    <w:rsid w:val="00A4661E"/>
    <w:rsid w:val="00A55BD6"/>
    <w:rsid w:val="00A55D50"/>
    <w:rsid w:val="00A57142"/>
    <w:rsid w:val="00A648CD"/>
    <w:rsid w:val="00A6537A"/>
    <w:rsid w:val="00A67866"/>
    <w:rsid w:val="00A70B07"/>
    <w:rsid w:val="00A723F8"/>
    <w:rsid w:val="00A77CCB"/>
    <w:rsid w:val="00A824CB"/>
    <w:rsid w:val="00A83D8D"/>
    <w:rsid w:val="00A8446B"/>
    <w:rsid w:val="00A8473F"/>
    <w:rsid w:val="00A862D6"/>
    <w:rsid w:val="00A86655"/>
    <w:rsid w:val="00A8715E"/>
    <w:rsid w:val="00A9295B"/>
    <w:rsid w:val="00A93B09"/>
    <w:rsid w:val="00A952D7"/>
    <w:rsid w:val="00A963F7"/>
    <w:rsid w:val="00A96AD8"/>
    <w:rsid w:val="00AA052C"/>
    <w:rsid w:val="00AA0606"/>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227"/>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4241"/>
    <w:rsid w:val="00B758BF"/>
    <w:rsid w:val="00B77EC8"/>
    <w:rsid w:val="00B827A6"/>
    <w:rsid w:val="00B831CE"/>
    <w:rsid w:val="00B858B6"/>
    <w:rsid w:val="00B86677"/>
    <w:rsid w:val="00B87131"/>
    <w:rsid w:val="00B927F3"/>
    <w:rsid w:val="00B939B1"/>
    <w:rsid w:val="00B96D40"/>
    <w:rsid w:val="00B97386"/>
    <w:rsid w:val="00BA263B"/>
    <w:rsid w:val="00BA42B2"/>
    <w:rsid w:val="00BA58D4"/>
    <w:rsid w:val="00BA5B9E"/>
    <w:rsid w:val="00BA7C9A"/>
    <w:rsid w:val="00BB5F8F"/>
    <w:rsid w:val="00BB657A"/>
    <w:rsid w:val="00BC1A4E"/>
    <w:rsid w:val="00BC2626"/>
    <w:rsid w:val="00BC5DC7"/>
    <w:rsid w:val="00BC6B8B"/>
    <w:rsid w:val="00BC73D8"/>
    <w:rsid w:val="00BD52D7"/>
    <w:rsid w:val="00BD5AD2"/>
    <w:rsid w:val="00BE22F3"/>
    <w:rsid w:val="00BE2998"/>
    <w:rsid w:val="00BE5B52"/>
    <w:rsid w:val="00BE7B8D"/>
    <w:rsid w:val="00BF0993"/>
    <w:rsid w:val="00BF10A9"/>
    <w:rsid w:val="00BF1703"/>
    <w:rsid w:val="00BF231C"/>
    <w:rsid w:val="00BF51E5"/>
    <w:rsid w:val="00BF74A6"/>
    <w:rsid w:val="00C013AD"/>
    <w:rsid w:val="00C04904"/>
    <w:rsid w:val="00C056B3"/>
    <w:rsid w:val="00C103E5"/>
    <w:rsid w:val="00C12CA4"/>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71A"/>
    <w:rsid w:val="00C7287F"/>
    <w:rsid w:val="00C80CB8"/>
    <w:rsid w:val="00C819F8"/>
    <w:rsid w:val="00C8248C"/>
    <w:rsid w:val="00C84E33"/>
    <w:rsid w:val="00C86D6F"/>
    <w:rsid w:val="00C905FC"/>
    <w:rsid w:val="00C92D03"/>
    <w:rsid w:val="00C9319C"/>
    <w:rsid w:val="00C9435D"/>
    <w:rsid w:val="00C94DF2"/>
    <w:rsid w:val="00C96741"/>
    <w:rsid w:val="00CA0336"/>
    <w:rsid w:val="00CA2D1B"/>
    <w:rsid w:val="00CA375D"/>
    <w:rsid w:val="00CA662A"/>
    <w:rsid w:val="00CA6889"/>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2ECA"/>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5EC8"/>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1AC6"/>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BD"/>
    <w:rsid w:val="00E01138"/>
    <w:rsid w:val="00E02DFB"/>
    <w:rsid w:val="00E030F9"/>
    <w:rsid w:val="00E0311A"/>
    <w:rsid w:val="00E03138"/>
    <w:rsid w:val="00E06404"/>
    <w:rsid w:val="00E1046A"/>
    <w:rsid w:val="00E11A85"/>
    <w:rsid w:val="00E12191"/>
    <w:rsid w:val="00E12495"/>
    <w:rsid w:val="00E15CCD"/>
    <w:rsid w:val="00E202EF"/>
    <w:rsid w:val="00E210B5"/>
    <w:rsid w:val="00E22229"/>
    <w:rsid w:val="00E2552F"/>
    <w:rsid w:val="00E3137A"/>
    <w:rsid w:val="00E3287D"/>
    <w:rsid w:val="00E32CCF"/>
    <w:rsid w:val="00E34A98"/>
    <w:rsid w:val="00E35D1E"/>
    <w:rsid w:val="00E364F9"/>
    <w:rsid w:val="00E365FA"/>
    <w:rsid w:val="00E36789"/>
    <w:rsid w:val="00E40146"/>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C76"/>
    <w:rsid w:val="00EB1E69"/>
    <w:rsid w:val="00EB2086"/>
    <w:rsid w:val="00EB31ED"/>
    <w:rsid w:val="00EB5EDF"/>
    <w:rsid w:val="00EB60FE"/>
    <w:rsid w:val="00EB74DB"/>
    <w:rsid w:val="00EC5359"/>
    <w:rsid w:val="00EC562A"/>
    <w:rsid w:val="00EC6F75"/>
    <w:rsid w:val="00ED067A"/>
    <w:rsid w:val="00ED2B50"/>
    <w:rsid w:val="00EE0350"/>
    <w:rsid w:val="00EE0719"/>
    <w:rsid w:val="00EE0E80"/>
    <w:rsid w:val="00EE613F"/>
    <w:rsid w:val="00EE7295"/>
    <w:rsid w:val="00EE7841"/>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D87"/>
    <w:rsid w:val="00F902F6"/>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19106C67"/>
    <w:rsid w:val="210E31F9"/>
    <w:rsid w:val="2A2B2EF8"/>
    <w:rsid w:val="42A7059F"/>
    <w:rsid w:val="5D7F6ADB"/>
    <w:rsid w:val="6E096679"/>
    <w:rsid w:val="6E103907"/>
    <w:rsid w:val="7CAB4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Char"/>
    <w:link w:val="2"/>
    <w:qFormat/>
    <w:uiPriority w:val="0"/>
    <w:rPr>
      <w:b/>
      <w:bCs/>
      <w:kern w:val="44"/>
      <w:sz w:val="44"/>
      <w:szCs w:val="44"/>
    </w:rPr>
  </w:style>
  <w:style w:type="character" w:customStyle="1" w:styleId="35">
    <w:name w:val="标题 2 Char"/>
    <w:link w:val="3"/>
    <w:qFormat/>
    <w:uiPriority w:val="0"/>
    <w:rPr>
      <w:rFonts w:ascii="Arial" w:hAnsi="Arial" w:eastAsia="黑体"/>
      <w:b/>
      <w:bCs/>
      <w:kern w:val="2"/>
      <w:sz w:val="32"/>
      <w:szCs w:val="32"/>
    </w:rPr>
  </w:style>
  <w:style w:type="character" w:customStyle="1" w:styleId="36">
    <w:name w:val="标题 3 Char"/>
    <w:link w:val="4"/>
    <w:qFormat/>
    <w:uiPriority w:val="0"/>
    <w:rPr>
      <w:b/>
      <w:bCs/>
      <w:kern w:val="2"/>
      <w:sz w:val="32"/>
      <w:szCs w:val="32"/>
    </w:rPr>
  </w:style>
  <w:style w:type="character" w:customStyle="1" w:styleId="37">
    <w:name w:val="标题 4 Char"/>
    <w:link w:val="5"/>
    <w:qFormat/>
    <w:uiPriority w:val="0"/>
    <w:rPr>
      <w:rFonts w:ascii="Arial" w:hAnsi="Arial" w:eastAsia="黑体"/>
      <w:b/>
      <w:bCs/>
      <w:kern w:val="2"/>
      <w:sz w:val="28"/>
      <w:szCs w:val="28"/>
    </w:rPr>
  </w:style>
  <w:style w:type="character" w:customStyle="1" w:styleId="38">
    <w:name w:val="标题 5 Char"/>
    <w:link w:val="6"/>
    <w:qFormat/>
    <w:uiPriority w:val="0"/>
    <w:rPr>
      <w:b/>
      <w:bCs/>
      <w:kern w:val="2"/>
      <w:sz w:val="28"/>
      <w:szCs w:val="28"/>
    </w:rPr>
  </w:style>
  <w:style w:type="character" w:customStyle="1" w:styleId="39">
    <w:name w:val="标题 6 Char"/>
    <w:link w:val="7"/>
    <w:qFormat/>
    <w:uiPriority w:val="0"/>
    <w:rPr>
      <w:rFonts w:ascii="Arial" w:hAnsi="Arial" w:eastAsia="黑体"/>
      <w:b/>
      <w:bCs/>
      <w:kern w:val="2"/>
      <w:sz w:val="24"/>
      <w:szCs w:val="24"/>
    </w:rPr>
  </w:style>
  <w:style w:type="character" w:customStyle="1" w:styleId="40">
    <w:name w:val="标题 7 Char"/>
    <w:link w:val="8"/>
    <w:qFormat/>
    <w:uiPriority w:val="0"/>
    <w:rPr>
      <w:b/>
      <w:bCs/>
      <w:kern w:val="2"/>
      <w:sz w:val="24"/>
      <w:szCs w:val="24"/>
    </w:rPr>
  </w:style>
  <w:style w:type="character" w:customStyle="1" w:styleId="41">
    <w:name w:val="标题 8 Char"/>
    <w:link w:val="9"/>
    <w:qFormat/>
    <w:uiPriority w:val="0"/>
    <w:rPr>
      <w:rFonts w:ascii="Arial" w:hAnsi="Arial" w:eastAsia="黑体"/>
      <w:kern w:val="2"/>
      <w:sz w:val="24"/>
      <w:szCs w:val="24"/>
    </w:rPr>
  </w:style>
  <w:style w:type="character" w:customStyle="1" w:styleId="42">
    <w:name w:val="标题 9 Char"/>
    <w:link w:val="10"/>
    <w:qFormat/>
    <w:uiPriority w:val="0"/>
    <w:rPr>
      <w:rFonts w:ascii="Arial" w:hAnsi="Arial" w:eastAsia="黑体"/>
      <w:kern w:val="2"/>
      <w:sz w:val="21"/>
      <w:szCs w:val="21"/>
    </w:rPr>
  </w:style>
  <w:style w:type="character" w:customStyle="1" w:styleId="43">
    <w:name w:val="页眉 Char"/>
    <w:link w:val="18"/>
    <w:qFormat/>
    <w:uiPriority w:val="99"/>
    <w:rPr>
      <w:kern w:val="2"/>
      <w:sz w:val="18"/>
      <w:szCs w:val="18"/>
    </w:rPr>
  </w:style>
  <w:style w:type="character" w:customStyle="1" w:styleId="44">
    <w:name w:val="页脚 Char"/>
    <w:link w:val="17"/>
    <w:qFormat/>
    <w:uiPriority w:val="99"/>
    <w:rPr>
      <w:rFonts w:ascii="宋体"/>
      <w:kern w:val="2"/>
      <w:sz w:val="18"/>
      <w:szCs w:val="18"/>
    </w:rPr>
  </w:style>
  <w:style w:type="character" w:customStyle="1" w:styleId="45">
    <w:name w:val="批注框文本 Char"/>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Char"/>
    <w:link w:val="46"/>
    <w:qFormat/>
    <w:uiPriority w:val="29"/>
    <w:rPr>
      <w:i/>
      <w:iCs/>
      <w:color w:val="000000"/>
      <w:kern w:val="2"/>
      <w:sz w:val="21"/>
      <w:szCs w:val="21"/>
    </w:rPr>
  </w:style>
  <w:style w:type="character" w:customStyle="1" w:styleId="48">
    <w:name w:val="标题 Char"/>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Char"/>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Char"/>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ind w:left="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paragraph" w:customStyle="1" w:styleId="230">
    <w:name w:val="Table Paragraph"/>
    <w:basedOn w:val="1"/>
    <w:qFormat/>
    <w:uiPriority w:val="1"/>
    <w:pPr>
      <w:autoSpaceDE w:val="0"/>
      <w:autoSpaceDN w:val="0"/>
      <w:adjustRightInd/>
      <w:spacing w:line="240" w:lineRule="auto"/>
      <w:jc w:val="center"/>
    </w:pPr>
    <w:rPr>
      <w:rFonts w:ascii="Arial" w:hAnsi="Arial" w:eastAsia="Arial" w:cs="Arial"/>
      <w:kern w:val="0"/>
      <w:sz w:val="22"/>
      <w:szCs w:val="22"/>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1" Type="http://schemas.openxmlformats.org/officeDocument/2006/relationships/glossaryDocument" Target="glossary/document.xml"/><Relationship Id="rId40" Type="http://schemas.openxmlformats.org/officeDocument/2006/relationships/fontTable" Target="fontTable.xml"/><Relationship Id="rId4" Type="http://schemas.openxmlformats.org/officeDocument/2006/relationships/endnotes" Target="endnotes.xml"/><Relationship Id="rId39" Type="http://schemas.openxmlformats.org/officeDocument/2006/relationships/customXml" Target="../customXml/item2.xml"/><Relationship Id="rId38" Type="http://schemas.openxmlformats.org/officeDocument/2006/relationships/numbering" Target="numbering.xml"/><Relationship Id="rId37" Type="http://schemas.openxmlformats.org/officeDocument/2006/relationships/customXml" Target="../customXml/item1.xml"/><Relationship Id="rId36" Type="http://schemas.openxmlformats.org/officeDocument/2006/relationships/image" Target="media/image22.png"/><Relationship Id="rId35" Type="http://schemas.openxmlformats.org/officeDocument/2006/relationships/image" Target="media/image21.GIF"/><Relationship Id="rId34" Type="http://schemas.openxmlformats.org/officeDocument/2006/relationships/image" Target="media/image20.GIF"/><Relationship Id="rId33" Type="http://schemas.openxmlformats.org/officeDocument/2006/relationships/image" Target="media/image19.GIF"/><Relationship Id="rId32" Type="http://schemas.openxmlformats.org/officeDocument/2006/relationships/image" Target="media/image18.GIF"/><Relationship Id="rId31" Type="http://schemas.openxmlformats.org/officeDocument/2006/relationships/image" Target="media/image17.GIF"/><Relationship Id="rId30" Type="http://schemas.openxmlformats.org/officeDocument/2006/relationships/image" Target="media/image16.GIF"/><Relationship Id="rId3" Type="http://schemas.openxmlformats.org/officeDocument/2006/relationships/footnotes" Target="footnotes.xml"/><Relationship Id="rId29" Type="http://schemas.openxmlformats.org/officeDocument/2006/relationships/image" Target="media/image15.GIF"/><Relationship Id="rId28" Type="http://schemas.openxmlformats.org/officeDocument/2006/relationships/image" Target="media/image14.GIF"/><Relationship Id="rId27" Type="http://schemas.openxmlformats.org/officeDocument/2006/relationships/image" Target="media/image13.GIF"/><Relationship Id="rId26" Type="http://schemas.openxmlformats.org/officeDocument/2006/relationships/image" Target="media/image12.GIF"/><Relationship Id="rId25" Type="http://schemas.openxmlformats.org/officeDocument/2006/relationships/image" Target="media/image11.GIF"/><Relationship Id="rId24" Type="http://schemas.openxmlformats.org/officeDocument/2006/relationships/image" Target="media/image10.GIF"/><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jpe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5A9E7C2338D4E14A0C1D9F2626A2EB0"/>
        <w:style w:val=""/>
        <w:category>
          <w:name w:val="常规"/>
          <w:gallery w:val="placeholder"/>
        </w:category>
        <w:types>
          <w:type w:val="bbPlcHdr"/>
        </w:types>
        <w:behaviors>
          <w:behavior w:val="content"/>
        </w:behaviors>
        <w:description w:val=""/>
        <w:guid w:val="{71C6DD16-8EB0-4970-9E4A-275A768BD8A7}"/>
      </w:docPartPr>
      <w:docPartBody>
        <w:p w14:paraId="1FE9CE01">
          <w:pPr>
            <w:pStyle w:val="5"/>
          </w:pPr>
          <w:r>
            <w:rPr>
              <w:rStyle w:val="4"/>
              <w:rFonts w:hint="eastAsia"/>
            </w:rPr>
            <w:t>单击或点击此处输入文字。</w:t>
          </w:r>
        </w:p>
      </w:docPartBody>
    </w:docPart>
    <w:docPart>
      <w:docPartPr>
        <w:name w:val="B131210D8F8846BBB4A500046D10AB0C"/>
        <w:style w:val=""/>
        <w:category>
          <w:name w:val="常规"/>
          <w:gallery w:val="placeholder"/>
        </w:category>
        <w:types>
          <w:type w:val="bbPlcHdr"/>
        </w:types>
        <w:behaviors>
          <w:behavior w:val="content"/>
        </w:behaviors>
        <w:description w:val=""/>
        <w:guid w:val="{A0816419-CE64-49ED-8DE2-B834D604121D}"/>
      </w:docPartPr>
      <w:docPartBody>
        <w:p w14:paraId="177C98B9">
          <w:pPr>
            <w:pStyle w:val="6"/>
          </w:pPr>
          <w:r>
            <w:rPr>
              <w:rStyle w:val="4"/>
              <w:rFonts w:hint="eastAsia"/>
            </w:rPr>
            <w:t>选择一项。</w:t>
          </w:r>
        </w:p>
      </w:docPartBody>
    </w:docPart>
    <w:docPart>
      <w:docPartPr>
        <w:name w:val="2CDC17C3D1BE4F9796F208528EE281FD"/>
        <w:style w:val=""/>
        <w:category>
          <w:name w:val="常规"/>
          <w:gallery w:val="placeholder"/>
        </w:category>
        <w:types>
          <w:type w:val="bbPlcHdr"/>
        </w:types>
        <w:behaviors>
          <w:behavior w:val="content"/>
        </w:behaviors>
        <w:description w:val=""/>
        <w:guid w:val="{EE6D0461-8694-4622-A432-0BF80BEAF295}"/>
      </w:docPartPr>
      <w:docPartBody>
        <w:p w14:paraId="5395140E">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444"/>
    <w:rsid w:val="00050E9D"/>
    <w:rsid w:val="00132FA5"/>
    <w:rsid w:val="001F2444"/>
    <w:rsid w:val="005D7095"/>
    <w:rsid w:val="00633BA9"/>
    <w:rsid w:val="007A6E26"/>
    <w:rsid w:val="00814568"/>
    <w:rsid w:val="00B05CB6"/>
    <w:rsid w:val="00E0690E"/>
    <w:rsid w:val="00E778D5"/>
    <w:rsid w:val="00F26A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B5A9E7C2338D4E14A0C1D9F2626A2EB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B131210D8F8846BBB4A500046D10AB0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2CDC17C3D1BE4F9796F208528EE281FD"/>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204843-9D09-4166-9285-90C1606F974A}">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14</Pages>
  <Words>3223</Words>
  <Characters>3816</Characters>
  <Lines>70</Lines>
  <Paragraphs>19</Paragraphs>
  <TotalTime>0</TotalTime>
  <ScaleCrop>false</ScaleCrop>
  <LinksUpToDate>false</LinksUpToDate>
  <CharactersWithSpaces>3971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2025-07-07T08:04:00Z</dcterms:created>
  <dc:creator>note</dc:creator>
  <dc:description>&lt;config cover="true" show_menu="true" version="1.0.0" doctype="SDKXY"&gt;_x000d_
&lt;/config&gt;</dc:description>
  <cp:lastModifiedBy>中国民族卫生协会王</cp:lastModifiedBy>
  <cp:lastPrinted>2025-06-23T07:18:00Z</cp:lastPrinted>
  <dcterms:modified xsi:type="dcterms:W3CDTF">2025-07-22T09:07:48Z</dcterms:modified>
  <dc:title>团体标准</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eyJoZGlkIjoiYjg4ZDJlMWJhZTNlYzgzMTIzODMzODE4MjQ1ZmY3ZTgiLCJ1c2VySWQiOiIzODAyOTI0MzMifQ==</vt:lpwstr>
  </property>
  <property fmtid="{D5CDD505-2E9C-101B-9397-08002B2CF9AE}" pid="15" name="KSOProductBuildVer">
    <vt:lpwstr>2052-12.1.0.21915</vt:lpwstr>
  </property>
  <property fmtid="{D5CDD505-2E9C-101B-9397-08002B2CF9AE}" pid="16" name="ICV">
    <vt:lpwstr>C712AF9FECD446998E208BAD066BFCE3_12</vt:lpwstr>
  </property>
</Properties>
</file>